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5539" w14:textId="77777777" w:rsidR="005B011F" w:rsidRPr="00EA1CC6" w:rsidRDefault="005B011F" w:rsidP="005B011F">
      <w:pPr>
        <w:jc w:val="center"/>
        <w:rPr>
          <w:rFonts w:cs="Arial"/>
          <w:b/>
          <w:bCs/>
        </w:rPr>
      </w:pPr>
      <w:r w:rsidRPr="00EA1CC6">
        <w:rPr>
          <w:rFonts w:cs="Arial"/>
          <w:b/>
          <w:bCs/>
        </w:rPr>
        <w:t>Stanton St Quintin Neighbourhood Development Plan Steering Group</w:t>
      </w:r>
    </w:p>
    <w:p w14:paraId="169E2A33" w14:textId="77777777" w:rsidR="005B011F" w:rsidRPr="00EA1CC6" w:rsidRDefault="005B011F" w:rsidP="005B011F">
      <w:pPr>
        <w:jc w:val="center"/>
        <w:rPr>
          <w:rFonts w:cs="Arial"/>
          <w:b/>
          <w:bCs/>
        </w:rPr>
      </w:pPr>
    </w:p>
    <w:p w14:paraId="4CC5ACBC" w14:textId="617946B6" w:rsidR="005B011F" w:rsidRDefault="005B011F" w:rsidP="005B011F">
      <w:pPr>
        <w:jc w:val="center"/>
        <w:rPr>
          <w:rFonts w:cs="Arial"/>
          <w:b/>
          <w:bCs/>
        </w:rPr>
      </w:pPr>
      <w:r w:rsidRPr="00EA1CC6">
        <w:rPr>
          <w:rFonts w:cs="Arial"/>
          <w:b/>
          <w:bCs/>
        </w:rPr>
        <w:t xml:space="preserve">Minutes of the meeting of </w:t>
      </w:r>
      <w:r w:rsidR="00823A03">
        <w:rPr>
          <w:rFonts w:cs="Arial"/>
          <w:b/>
          <w:bCs/>
        </w:rPr>
        <w:t>12 November 2018</w:t>
      </w:r>
      <w:r w:rsidR="00CA4A25">
        <w:rPr>
          <w:rFonts w:cs="Arial"/>
          <w:b/>
          <w:bCs/>
        </w:rPr>
        <w:t xml:space="preserve"> </w:t>
      </w:r>
      <w:r w:rsidR="00C721C8">
        <w:rPr>
          <w:rFonts w:cs="Arial"/>
          <w:b/>
          <w:bCs/>
        </w:rPr>
        <w:t xml:space="preserve">held in Long </w:t>
      </w:r>
      <w:r w:rsidR="00823A03">
        <w:rPr>
          <w:rFonts w:cs="Arial"/>
          <w:b/>
          <w:bCs/>
        </w:rPr>
        <w:t>View</w:t>
      </w:r>
    </w:p>
    <w:p w14:paraId="568089B4" w14:textId="1E9F098D" w:rsidR="00587872" w:rsidRPr="00EA1CC6" w:rsidRDefault="00587872" w:rsidP="005B011F">
      <w:pPr>
        <w:jc w:val="center"/>
        <w:rPr>
          <w:rFonts w:cs="Arial"/>
          <w:b/>
          <w:bCs/>
        </w:rPr>
      </w:pPr>
      <w:r>
        <w:rPr>
          <w:rFonts w:cs="Arial"/>
          <w:b/>
          <w:bCs/>
        </w:rPr>
        <w:t xml:space="preserve">These minutes should be read in conjunction with the </w:t>
      </w:r>
      <w:r w:rsidR="00823A03">
        <w:rPr>
          <w:rFonts w:cs="Arial"/>
          <w:b/>
          <w:bCs/>
        </w:rPr>
        <w:t>Novembe</w:t>
      </w:r>
      <w:r w:rsidR="00CA4A25">
        <w:rPr>
          <w:rFonts w:cs="Arial"/>
          <w:b/>
          <w:bCs/>
        </w:rPr>
        <w:t xml:space="preserve">r </w:t>
      </w:r>
      <w:r w:rsidR="005B62C9">
        <w:rPr>
          <w:rFonts w:cs="Arial"/>
          <w:b/>
          <w:bCs/>
        </w:rPr>
        <w:t>20</w:t>
      </w:r>
      <w:r>
        <w:rPr>
          <w:rFonts w:cs="Arial"/>
          <w:b/>
          <w:bCs/>
        </w:rPr>
        <w:t xml:space="preserve">18 </w:t>
      </w:r>
      <w:r w:rsidR="00F25E72">
        <w:rPr>
          <w:rFonts w:cs="Arial"/>
          <w:b/>
          <w:bCs/>
        </w:rPr>
        <w:t>PowerPoint</w:t>
      </w:r>
      <w:r>
        <w:rPr>
          <w:rFonts w:cs="Arial"/>
          <w:b/>
          <w:bCs/>
        </w:rPr>
        <w:t xml:space="preserve"> presentation </w:t>
      </w:r>
    </w:p>
    <w:p w14:paraId="1C2F9D54" w14:textId="77777777" w:rsidR="00975D43" w:rsidRPr="00EA1CC6" w:rsidRDefault="00975D43" w:rsidP="005B011F">
      <w:pPr>
        <w:jc w:val="center"/>
        <w:rPr>
          <w:rFonts w:cs="Arial"/>
          <w:b/>
          <w:bCs/>
        </w:rPr>
      </w:pPr>
    </w:p>
    <w:p w14:paraId="69B3584F" w14:textId="34F76D3E" w:rsidR="005B011F" w:rsidRPr="00EA1CC6" w:rsidRDefault="00CD53AB" w:rsidP="005B011F">
      <w:pPr>
        <w:ind w:right="-7"/>
        <w:jc w:val="both"/>
        <w:rPr>
          <w:sz w:val="22"/>
          <w:szCs w:val="22"/>
        </w:rPr>
      </w:pPr>
      <w:r>
        <w:rPr>
          <w:b/>
          <w:sz w:val="22"/>
          <w:szCs w:val="22"/>
        </w:rPr>
        <w:t>Pr</w:t>
      </w:r>
      <w:r w:rsidR="005B011F" w:rsidRPr="00EA1CC6">
        <w:rPr>
          <w:b/>
          <w:sz w:val="22"/>
          <w:szCs w:val="22"/>
        </w:rPr>
        <w:t>esent:</w:t>
      </w:r>
      <w:r>
        <w:rPr>
          <w:b/>
          <w:sz w:val="22"/>
          <w:szCs w:val="22"/>
        </w:rPr>
        <w:t xml:space="preserve"> </w:t>
      </w:r>
      <w:r>
        <w:rPr>
          <w:sz w:val="22"/>
          <w:szCs w:val="22"/>
        </w:rPr>
        <w:t xml:space="preserve">Paul Craven (Chair), </w:t>
      </w:r>
      <w:r w:rsidR="005B011F" w:rsidRPr="00EA1CC6">
        <w:rPr>
          <w:sz w:val="22"/>
          <w:szCs w:val="22"/>
        </w:rPr>
        <w:t>Elspeth Schwenk</w:t>
      </w:r>
      <w:r w:rsidR="001D127A">
        <w:rPr>
          <w:sz w:val="22"/>
          <w:szCs w:val="22"/>
        </w:rPr>
        <w:t>,</w:t>
      </w:r>
      <w:r w:rsidR="0046007D">
        <w:rPr>
          <w:sz w:val="22"/>
          <w:szCs w:val="22"/>
        </w:rPr>
        <w:t xml:space="preserve"> </w:t>
      </w:r>
      <w:r w:rsidR="001D127A" w:rsidRPr="00EA1CC6">
        <w:rPr>
          <w:sz w:val="22"/>
          <w:szCs w:val="22"/>
        </w:rPr>
        <w:t>Graeme Pattison</w:t>
      </w:r>
      <w:r w:rsidR="001D127A">
        <w:rPr>
          <w:sz w:val="22"/>
          <w:szCs w:val="22"/>
        </w:rPr>
        <w:t>,</w:t>
      </w:r>
      <w:r w:rsidR="00AE3020">
        <w:rPr>
          <w:sz w:val="22"/>
          <w:szCs w:val="22"/>
        </w:rPr>
        <w:t xml:space="preserve"> </w:t>
      </w:r>
      <w:r w:rsidR="00C721C8">
        <w:rPr>
          <w:sz w:val="22"/>
          <w:szCs w:val="22"/>
        </w:rPr>
        <w:t>Roger Starling,</w:t>
      </w:r>
      <w:r>
        <w:rPr>
          <w:sz w:val="22"/>
          <w:szCs w:val="22"/>
        </w:rPr>
        <w:t xml:space="preserve"> </w:t>
      </w:r>
      <w:r w:rsidR="00823A03">
        <w:rPr>
          <w:sz w:val="22"/>
          <w:szCs w:val="22"/>
        </w:rPr>
        <w:t>Rosalind Brown, Stephanie Fenton, Mike Smith, Hilary Greene</w:t>
      </w:r>
    </w:p>
    <w:p w14:paraId="204FC2C4" w14:textId="77777777" w:rsidR="00975D43" w:rsidRPr="00852E9B" w:rsidRDefault="00975D43" w:rsidP="005B011F">
      <w:pPr>
        <w:rPr>
          <w:rFonts w:cs="Arial"/>
          <w:sz w:val="22"/>
          <w:szCs w:val="22"/>
        </w:rPr>
      </w:pPr>
    </w:p>
    <w:tbl>
      <w:tblPr>
        <w:tblW w:w="8878" w:type="dxa"/>
        <w:tblInd w:w="-176" w:type="dxa"/>
        <w:tblLook w:val="0000" w:firstRow="0" w:lastRow="0" w:firstColumn="0" w:lastColumn="0" w:noHBand="0" w:noVBand="0"/>
      </w:tblPr>
      <w:tblGrid>
        <w:gridCol w:w="863"/>
        <w:gridCol w:w="6747"/>
        <w:gridCol w:w="1268"/>
      </w:tblGrid>
      <w:tr w:rsidR="005B011F" w:rsidRPr="00975D43" w14:paraId="6452E082" w14:textId="77777777" w:rsidTr="00D036FA">
        <w:trPr>
          <w:cantSplit/>
          <w:tblHeader/>
        </w:trPr>
        <w:tc>
          <w:tcPr>
            <w:tcW w:w="863" w:type="dxa"/>
          </w:tcPr>
          <w:p w14:paraId="2EEF9A8B" w14:textId="77777777" w:rsidR="005B011F" w:rsidRPr="00975D43" w:rsidRDefault="005B011F" w:rsidP="00182307">
            <w:pPr>
              <w:ind w:left="170"/>
              <w:rPr>
                <w:rFonts w:cs="Arial"/>
                <w:b/>
                <w:bCs/>
                <w:sz w:val="22"/>
                <w:szCs w:val="22"/>
              </w:rPr>
            </w:pPr>
          </w:p>
        </w:tc>
        <w:tc>
          <w:tcPr>
            <w:tcW w:w="6747" w:type="dxa"/>
          </w:tcPr>
          <w:p w14:paraId="390888F5" w14:textId="77777777" w:rsidR="005B011F" w:rsidRPr="00975D43" w:rsidRDefault="005B011F" w:rsidP="0046007D">
            <w:pPr>
              <w:rPr>
                <w:rFonts w:cs="Arial"/>
                <w:b/>
                <w:bCs/>
                <w:sz w:val="22"/>
                <w:szCs w:val="22"/>
              </w:rPr>
            </w:pPr>
          </w:p>
        </w:tc>
        <w:tc>
          <w:tcPr>
            <w:tcW w:w="1268" w:type="dxa"/>
          </w:tcPr>
          <w:p w14:paraId="177AFD44" w14:textId="77777777" w:rsidR="005B011F" w:rsidRPr="00975D43" w:rsidRDefault="005B011F" w:rsidP="00182307">
            <w:pPr>
              <w:rPr>
                <w:rFonts w:cs="Arial"/>
                <w:b/>
                <w:bCs/>
                <w:sz w:val="22"/>
                <w:szCs w:val="22"/>
              </w:rPr>
            </w:pPr>
            <w:r w:rsidRPr="00975D43">
              <w:rPr>
                <w:rFonts w:cs="Arial"/>
                <w:b/>
                <w:bCs/>
                <w:sz w:val="22"/>
                <w:szCs w:val="22"/>
              </w:rPr>
              <w:t>Action</w:t>
            </w:r>
          </w:p>
        </w:tc>
      </w:tr>
      <w:tr w:rsidR="005B011F" w:rsidRPr="00975D43" w14:paraId="13546075" w14:textId="77777777" w:rsidTr="00D036FA">
        <w:trPr>
          <w:cantSplit/>
        </w:trPr>
        <w:tc>
          <w:tcPr>
            <w:tcW w:w="863" w:type="dxa"/>
          </w:tcPr>
          <w:p w14:paraId="5A7BCE04" w14:textId="77777777" w:rsidR="005B011F" w:rsidRPr="00975D43" w:rsidRDefault="005B011F" w:rsidP="00182307">
            <w:pPr>
              <w:numPr>
                <w:ilvl w:val="0"/>
                <w:numId w:val="1"/>
              </w:numPr>
              <w:rPr>
                <w:rFonts w:cs="Arial"/>
                <w:b/>
                <w:bCs/>
                <w:sz w:val="22"/>
                <w:szCs w:val="22"/>
              </w:rPr>
            </w:pPr>
          </w:p>
        </w:tc>
        <w:tc>
          <w:tcPr>
            <w:tcW w:w="6747" w:type="dxa"/>
          </w:tcPr>
          <w:p w14:paraId="5A9B53C8" w14:textId="77777777" w:rsidR="005B011F" w:rsidRPr="00975D43" w:rsidRDefault="005B011F" w:rsidP="0046007D">
            <w:pPr>
              <w:rPr>
                <w:rFonts w:cs="Arial"/>
                <w:b/>
                <w:bCs/>
                <w:sz w:val="22"/>
                <w:szCs w:val="22"/>
              </w:rPr>
            </w:pPr>
            <w:r w:rsidRPr="00975D43">
              <w:rPr>
                <w:rFonts w:cs="Arial"/>
                <w:b/>
                <w:bCs/>
                <w:sz w:val="22"/>
                <w:szCs w:val="22"/>
              </w:rPr>
              <w:t>Apologies</w:t>
            </w:r>
          </w:p>
        </w:tc>
        <w:tc>
          <w:tcPr>
            <w:tcW w:w="1268" w:type="dxa"/>
          </w:tcPr>
          <w:p w14:paraId="13EA01D1" w14:textId="77777777" w:rsidR="005B011F" w:rsidRPr="00975D43" w:rsidRDefault="005B011F" w:rsidP="00182307">
            <w:pPr>
              <w:rPr>
                <w:rFonts w:cs="Arial"/>
                <w:b/>
                <w:bCs/>
                <w:sz w:val="22"/>
                <w:szCs w:val="22"/>
              </w:rPr>
            </w:pPr>
          </w:p>
        </w:tc>
      </w:tr>
      <w:tr w:rsidR="005B011F" w:rsidRPr="00975D43" w14:paraId="57DA3631" w14:textId="77777777" w:rsidTr="00BD34C3">
        <w:trPr>
          <w:cantSplit/>
          <w:trHeight w:val="175"/>
        </w:trPr>
        <w:tc>
          <w:tcPr>
            <w:tcW w:w="863" w:type="dxa"/>
          </w:tcPr>
          <w:p w14:paraId="27051E74" w14:textId="77777777" w:rsidR="005B011F" w:rsidRPr="00975D43" w:rsidRDefault="005B011F" w:rsidP="00182307">
            <w:pPr>
              <w:ind w:left="170"/>
              <w:rPr>
                <w:rFonts w:cs="Arial"/>
                <w:bCs/>
                <w:sz w:val="22"/>
                <w:szCs w:val="22"/>
              </w:rPr>
            </w:pPr>
          </w:p>
        </w:tc>
        <w:tc>
          <w:tcPr>
            <w:tcW w:w="6747" w:type="dxa"/>
          </w:tcPr>
          <w:p w14:paraId="0A6E1997" w14:textId="4BEB9C1E" w:rsidR="00F50C55" w:rsidRPr="00975D43" w:rsidRDefault="00823A03" w:rsidP="00C721C8">
            <w:pPr>
              <w:ind w:right="-7"/>
              <w:rPr>
                <w:sz w:val="22"/>
                <w:szCs w:val="22"/>
              </w:rPr>
            </w:pPr>
            <w:r>
              <w:rPr>
                <w:sz w:val="22"/>
                <w:szCs w:val="22"/>
              </w:rPr>
              <w:t>Gil Schwenk</w:t>
            </w:r>
          </w:p>
        </w:tc>
        <w:tc>
          <w:tcPr>
            <w:tcW w:w="1268" w:type="dxa"/>
          </w:tcPr>
          <w:p w14:paraId="3CD87A57" w14:textId="77777777" w:rsidR="005B011F" w:rsidRPr="00975D43" w:rsidRDefault="005B011F" w:rsidP="00182307">
            <w:pPr>
              <w:pStyle w:val="Heading1"/>
              <w:rPr>
                <w:rFonts w:cs="Arial"/>
                <w:b w:val="0"/>
                <w:sz w:val="22"/>
                <w:szCs w:val="22"/>
              </w:rPr>
            </w:pPr>
          </w:p>
        </w:tc>
      </w:tr>
      <w:tr w:rsidR="005B011F" w:rsidRPr="00975D43" w14:paraId="7E833874" w14:textId="77777777" w:rsidTr="00D036FA">
        <w:trPr>
          <w:cantSplit/>
        </w:trPr>
        <w:tc>
          <w:tcPr>
            <w:tcW w:w="863" w:type="dxa"/>
          </w:tcPr>
          <w:p w14:paraId="695DE6CA" w14:textId="77777777" w:rsidR="005B011F" w:rsidRPr="00975D43" w:rsidRDefault="005B011F" w:rsidP="00182307">
            <w:pPr>
              <w:numPr>
                <w:ilvl w:val="0"/>
                <w:numId w:val="1"/>
              </w:numPr>
              <w:rPr>
                <w:rFonts w:cs="Arial"/>
                <w:b/>
                <w:bCs/>
                <w:sz w:val="22"/>
                <w:szCs w:val="22"/>
              </w:rPr>
            </w:pPr>
          </w:p>
        </w:tc>
        <w:tc>
          <w:tcPr>
            <w:tcW w:w="6747" w:type="dxa"/>
          </w:tcPr>
          <w:p w14:paraId="526BD04A" w14:textId="7A0244ED" w:rsidR="005B011F" w:rsidRPr="00975D43" w:rsidRDefault="005B011F" w:rsidP="00823A03">
            <w:pPr>
              <w:pStyle w:val="Heading1"/>
              <w:rPr>
                <w:rFonts w:cs="Arial"/>
                <w:sz w:val="22"/>
                <w:szCs w:val="22"/>
              </w:rPr>
            </w:pPr>
            <w:r w:rsidRPr="00975D43">
              <w:rPr>
                <w:rFonts w:cs="Arial"/>
                <w:sz w:val="22"/>
                <w:szCs w:val="22"/>
              </w:rPr>
              <w:t xml:space="preserve">Minutes </w:t>
            </w:r>
            <w:r w:rsidR="001D127A">
              <w:rPr>
                <w:rFonts w:cs="Arial"/>
                <w:sz w:val="22"/>
                <w:szCs w:val="22"/>
              </w:rPr>
              <w:t>and action</w:t>
            </w:r>
            <w:r w:rsidR="00C721C8">
              <w:rPr>
                <w:rFonts w:cs="Arial"/>
                <w:sz w:val="22"/>
                <w:szCs w:val="22"/>
              </w:rPr>
              <w:t>s</w:t>
            </w:r>
            <w:r w:rsidR="001D127A">
              <w:rPr>
                <w:rFonts w:cs="Arial"/>
                <w:sz w:val="22"/>
                <w:szCs w:val="22"/>
              </w:rPr>
              <w:t xml:space="preserve"> from</w:t>
            </w:r>
            <w:r w:rsidRPr="00975D43">
              <w:rPr>
                <w:rFonts w:cs="Arial"/>
                <w:sz w:val="22"/>
                <w:szCs w:val="22"/>
              </w:rPr>
              <w:t xml:space="preserve"> </w:t>
            </w:r>
            <w:r w:rsidR="00823A03">
              <w:rPr>
                <w:rFonts w:cs="Arial"/>
                <w:sz w:val="22"/>
                <w:szCs w:val="22"/>
              </w:rPr>
              <w:t>8</w:t>
            </w:r>
            <w:r w:rsidR="00823A03" w:rsidRPr="00823A03">
              <w:rPr>
                <w:rFonts w:cs="Arial"/>
                <w:sz w:val="22"/>
                <w:szCs w:val="22"/>
                <w:vertAlign w:val="superscript"/>
              </w:rPr>
              <w:t>th</w:t>
            </w:r>
            <w:r w:rsidR="00823A03">
              <w:rPr>
                <w:rFonts w:cs="Arial"/>
                <w:sz w:val="22"/>
                <w:szCs w:val="22"/>
              </w:rPr>
              <w:t xml:space="preserve"> October</w:t>
            </w:r>
            <w:r w:rsidRPr="00975D43">
              <w:rPr>
                <w:rFonts w:cs="Arial"/>
                <w:sz w:val="22"/>
                <w:szCs w:val="22"/>
              </w:rPr>
              <w:t xml:space="preserve"> </w:t>
            </w:r>
          </w:p>
        </w:tc>
        <w:tc>
          <w:tcPr>
            <w:tcW w:w="1268" w:type="dxa"/>
          </w:tcPr>
          <w:p w14:paraId="0D2278DC" w14:textId="77777777" w:rsidR="005B011F" w:rsidRPr="00975D43" w:rsidRDefault="005B011F" w:rsidP="00182307">
            <w:pPr>
              <w:pStyle w:val="Heading1"/>
              <w:rPr>
                <w:rFonts w:cs="Arial"/>
                <w:sz w:val="22"/>
                <w:szCs w:val="22"/>
              </w:rPr>
            </w:pPr>
          </w:p>
        </w:tc>
      </w:tr>
      <w:tr w:rsidR="005B011F" w:rsidRPr="00975D43" w14:paraId="21A18B40" w14:textId="77777777" w:rsidTr="00D036FA">
        <w:trPr>
          <w:cantSplit/>
        </w:trPr>
        <w:tc>
          <w:tcPr>
            <w:tcW w:w="863" w:type="dxa"/>
          </w:tcPr>
          <w:p w14:paraId="0B19C49D" w14:textId="77777777" w:rsidR="005B011F" w:rsidRPr="00975D43" w:rsidRDefault="005B011F" w:rsidP="00182307">
            <w:pPr>
              <w:numPr>
                <w:ilvl w:val="1"/>
                <w:numId w:val="1"/>
              </w:numPr>
              <w:rPr>
                <w:rFonts w:cs="Arial"/>
                <w:bCs/>
                <w:sz w:val="22"/>
                <w:szCs w:val="22"/>
              </w:rPr>
            </w:pPr>
          </w:p>
        </w:tc>
        <w:tc>
          <w:tcPr>
            <w:tcW w:w="6747" w:type="dxa"/>
          </w:tcPr>
          <w:p w14:paraId="769861EC" w14:textId="77777777" w:rsidR="00F50C55" w:rsidRPr="00F50C55" w:rsidRDefault="00C721C8" w:rsidP="0046007D">
            <w:pPr>
              <w:pStyle w:val="Heading1"/>
            </w:pPr>
            <w:r>
              <w:rPr>
                <w:rFonts w:cs="Arial"/>
                <w:b w:val="0"/>
                <w:sz w:val="22"/>
                <w:szCs w:val="22"/>
              </w:rPr>
              <w:t>Minutes agreed</w:t>
            </w:r>
          </w:p>
        </w:tc>
        <w:tc>
          <w:tcPr>
            <w:tcW w:w="1268" w:type="dxa"/>
          </w:tcPr>
          <w:p w14:paraId="4EF17EFD" w14:textId="77777777" w:rsidR="005B011F" w:rsidRPr="00975D43" w:rsidRDefault="005B011F" w:rsidP="00182307">
            <w:pPr>
              <w:pStyle w:val="Heading1"/>
              <w:rPr>
                <w:rFonts w:cs="Arial"/>
                <w:b w:val="0"/>
                <w:sz w:val="22"/>
                <w:szCs w:val="22"/>
              </w:rPr>
            </w:pPr>
          </w:p>
        </w:tc>
      </w:tr>
      <w:tr w:rsidR="005B011F" w:rsidRPr="00975D43" w14:paraId="3032D7D4" w14:textId="77777777" w:rsidTr="00D036FA">
        <w:trPr>
          <w:cantSplit/>
        </w:trPr>
        <w:tc>
          <w:tcPr>
            <w:tcW w:w="863" w:type="dxa"/>
          </w:tcPr>
          <w:p w14:paraId="4D67D9D6" w14:textId="77777777" w:rsidR="005B011F" w:rsidRPr="00975D43" w:rsidRDefault="005B011F" w:rsidP="00182307">
            <w:pPr>
              <w:numPr>
                <w:ilvl w:val="0"/>
                <w:numId w:val="1"/>
              </w:numPr>
              <w:rPr>
                <w:rFonts w:cs="Arial"/>
                <w:b/>
                <w:bCs/>
                <w:sz w:val="22"/>
                <w:szCs w:val="22"/>
              </w:rPr>
            </w:pPr>
          </w:p>
        </w:tc>
        <w:tc>
          <w:tcPr>
            <w:tcW w:w="6747" w:type="dxa"/>
          </w:tcPr>
          <w:p w14:paraId="241CBA70" w14:textId="77777777" w:rsidR="005B011F" w:rsidRPr="00975D43" w:rsidRDefault="0046007D" w:rsidP="0046007D">
            <w:pPr>
              <w:pStyle w:val="Heading1"/>
              <w:rPr>
                <w:rFonts w:cs="Arial"/>
                <w:sz w:val="22"/>
                <w:szCs w:val="22"/>
              </w:rPr>
            </w:pPr>
            <w:r>
              <w:rPr>
                <w:rFonts w:cs="Arial"/>
                <w:sz w:val="22"/>
                <w:szCs w:val="22"/>
              </w:rPr>
              <w:t>Matters arising</w:t>
            </w:r>
          </w:p>
        </w:tc>
        <w:tc>
          <w:tcPr>
            <w:tcW w:w="1268" w:type="dxa"/>
          </w:tcPr>
          <w:p w14:paraId="7D293067" w14:textId="77777777" w:rsidR="005B011F" w:rsidRPr="00975D43" w:rsidRDefault="005B011F" w:rsidP="00182307">
            <w:pPr>
              <w:pStyle w:val="Heading1"/>
              <w:rPr>
                <w:rFonts w:cs="Arial"/>
                <w:sz w:val="22"/>
                <w:szCs w:val="22"/>
              </w:rPr>
            </w:pPr>
          </w:p>
        </w:tc>
      </w:tr>
      <w:tr w:rsidR="0046007D" w:rsidRPr="0046007D" w14:paraId="6F2AAA55" w14:textId="77777777" w:rsidTr="00D036FA">
        <w:trPr>
          <w:cantSplit/>
        </w:trPr>
        <w:tc>
          <w:tcPr>
            <w:tcW w:w="863" w:type="dxa"/>
          </w:tcPr>
          <w:p w14:paraId="298EB5F6" w14:textId="77777777" w:rsidR="0046007D" w:rsidRPr="0046007D" w:rsidRDefault="0046007D" w:rsidP="0046007D">
            <w:pPr>
              <w:ind w:left="170"/>
              <w:rPr>
                <w:rFonts w:cs="Arial"/>
                <w:bCs/>
                <w:sz w:val="22"/>
                <w:szCs w:val="22"/>
              </w:rPr>
            </w:pPr>
          </w:p>
        </w:tc>
        <w:tc>
          <w:tcPr>
            <w:tcW w:w="6747" w:type="dxa"/>
          </w:tcPr>
          <w:p w14:paraId="62E75EF4" w14:textId="62AABAF6" w:rsidR="0046007D" w:rsidRPr="0046007D" w:rsidRDefault="00AE3020" w:rsidP="00823A03">
            <w:pPr>
              <w:rPr>
                <w:sz w:val="22"/>
                <w:szCs w:val="22"/>
              </w:rPr>
            </w:pPr>
            <w:r>
              <w:rPr>
                <w:sz w:val="22"/>
                <w:szCs w:val="22"/>
              </w:rPr>
              <w:t>Hilary has still to hear from the Diocese.</w:t>
            </w:r>
            <w:r w:rsidR="004637E5">
              <w:rPr>
                <w:sz w:val="22"/>
                <w:szCs w:val="22"/>
              </w:rPr>
              <w:t xml:space="preserve"> </w:t>
            </w:r>
            <w:r w:rsidR="00823A03">
              <w:rPr>
                <w:sz w:val="22"/>
                <w:szCs w:val="22"/>
              </w:rPr>
              <w:t>She has chased again recently.</w:t>
            </w:r>
          </w:p>
        </w:tc>
        <w:tc>
          <w:tcPr>
            <w:tcW w:w="1268" w:type="dxa"/>
          </w:tcPr>
          <w:p w14:paraId="6132A682" w14:textId="77777777" w:rsidR="0046007D" w:rsidRPr="0046007D" w:rsidRDefault="0046007D" w:rsidP="0046007D">
            <w:pPr>
              <w:pStyle w:val="Heading1"/>
              <w:rPr>
                <w:rFonts w:cs="Arial"/>
                <w:b w:val="0"/>
                <w:sz w:val="22"/>
                <w:szCs w:val="22"/>
              </w:rPr>
            </w:pPr>
          </w:p>
        </w:tc>
      </w:tr>
      <w:tr w:rsidR="005B62C9" w:rsidRPr="0046007D" w14:paraId="7D974B42" w14:textId="77777777" w:rsidTr="00D036FA">
        <w:trPr>
          <w:cantSplit/>
        </w:trPr>
        <w:tc>
          <w:tcPr>
            <w:tcW w:w="863" w:type="dxa"/>
          </w:tcPr>
          <w:p w14:paraId="52D5684D" w14:textId="77777777" w:rsidR="005B62C9" w:rsidRPr="0046007D" w:rsidRDefault="005B62C9" w:rsidP="0046007D">
            <w:pPr>
              <w:ind w:left="170"/>
              <w:rPr>
                <w:rFonts w:cs="Arial"/>
                <w:bCs/>
                <w:sz w:val="22"/>
                <w:szCs w:val="22"/>
              </w:rPr>
            </w:pPr>
          </w:p>
        </w:tc>
        <w:tc>
          <w:tcPr>
            <w:tcW w:w="6747" w:type="dxa"/>
          </w:tcPr>
          <w:p w14:paraId="600F41B0" w14:textId="35994430" w:rsidR="004637E5" w:rsidRDefault="00823A03" w:rsidP="004637E5">
            <w:pPr>
              <w:rPr>
                <w:sz w:val="22"/>
                <w:szCs w:val="22"/>
              </w:rPr>
            </w:pPr>
            <w:r>
              <w:rPr>
                <w:sz w:val="22"/>
                <w:szCs w:val="22"/>
              </w:rPr>
              <w:t xml:space="preserve">Mapping of green spaces – Mike and Graeme will get this done by the next meeting. </w:t>
            </w:r>
          </w:p>
        </w:tc>
        <w:tc>
          <w:tcPr>
            <w:tcW w:w="1268" w:type="dxa"/>
          </w:tcPr>
          <w:p w14:paraId="4457F679" w14:textId="53D9AF8A" w:rsidR="005B62C9" w:rsidRDefault="00823A03" w:rsidP="0046007D">
            <w:pPr>
              <w:pStyle w:val="Heading1"/>
              <w:rPr>
                <w:rFonts w:cs="Arial"/>
                <w:b w:val="0"/>
                <w:sz w:val="22"/>
                <w:szCs w:val="22"/>
              </w:rPr>
            </w:pPr>
            <w:r>
              <w:rPr>
                <w:rFonts w:cs="Arial"/>
                <w:b w:val="0"/>
                <w:sz w:val="22"/>
                <w:szCs w:val="22"/>
              </w:rPr>
              <w:t>Mike and Graeme</w:t>
            </w:r>
          </w:p>
        </w:tc>
      </w:tr>
      <w:tr w:rsidR="005B62C9" w:rsidRPr="0046007D" w14:paraId="47A27CA9" w14:textId="77777777" w:rsidTr="00D036FA">
        <w:trPr>
          <w:cantSplit/>
        </w:trPr>
        <w:tc>
          <w:tcPr>
            <w:tcW w:w="863" w:type="dxa"/>
          </w:tcPr>
          <w:p w14:paraId="302F11DF" w14:textId="77777777" w:rsidR="005B62C9" w:rsidRPr="0046007D" w:rsidRDefault="005B62C9" w:rsidP="0046007D">
            <w:pPr>
              <w:ind w:left="170"/>
              <w:rPr>
                <w:rFonts w:cs="Arial"/>
                <w:bCs/>
                <w:sz w:val="22"/>
                <w:szCs w:val="22"/>
              </w:rPr>
            </w:pPr>
          </w:p>
        </w:tc>
        <w:tc>
          <w:tcPr>
            <w:tcW w:w="6747" w:type="dxa"/>
          </w:tcPr>
          <w:p w14:paraId="18CD6B43" w14:textId="5C77ED60" w:rsidR="005B62C9" w:rsidRDefault="00823A03" w:rsidP="0046007D">
            <w:pPr>
              <w:rPr>
                <w:sz w:val="22"/>
                <w:szCs w:val="22"/>
              </w:rPr>
            </w:pPr>
            <w:r>
              <w:rPr>
                <w:sz w:val="22"/>
                <w:szCs w:val="22"/>
              </w:rPr>
              <w:t xml:space="preserve">Mike will check regarding footpaths and bridleways. He has overlays of all the different types of space. </w:t>
            </w:r>
          </w:p>
        </w:tc>
        <w:tc>
          <w:tcPr>
            <w:tcW w:w="1268" w:type="dxa"/>
          </w:tcPr>
          <w:p w14:paraId="1B989540" w14:textId="77777777" w:rsidR="005B62C9" w:rsidRDefault="005B62C9" w:rsidP="0046007D">
            <w:pPr>
              <w:pStyle w:val="Heading1"/>
              <w:rPr>
                <w:rFonts w:cs="Arial"/>
                <w:b w:val="0"/>
                <w:sz w:val="22"/>
                <w:szCs w:val="22"/>
              </w:rPr>
            </w:pPr>
          </w:p>
        </w:tc>
      </w:tr>
      <w:tr w:rsidR="00823A03" w:rsidRPr="0046007D" w14:paraId="02AA2B0D" w14:textId="77777777" w:rsidTr="00D036FA">
        <w:trPr>
          <w:cantSplit/>
        </w:trPr>
        <w:tc>
          <w:tcPr>
            <w:tcW w:w="863" w:type="dxa"/>
          </w:tcPr>
          <w:p w14:paraId="46CE1910" w14:textId="77777777" w:rsidR="00823A03" w:rsidRPr="0046007D" w:rsidRDefault="00823A03" w:rsidP="0046007D">
            <w:pPr>
              <w:ind w:left="170"/>
              <w:rPr>
                <w:rFonts w:cs="Arial"/>
                <w:bCs/>
                <w:sz w:val="22"/>
                <w:szCs w:val="22"/>
              </w:rPr>
            </w:pPr>
          </w:p>
        </w:tc>
        <w:tc>
          <w:tcPr>
            <w:tcW w:w="6747" w:type="dxa"/>
          </w:tcPr>
          <w:p w14:paraId="6BA44597" w14:textId="29326D2D" w:rsidR="00823A03" w:rsidRDefault="00823A03" w:rsidP="0046007D">
            <w:pPr>
              <w:rPr>
                <w:sz w:val="22"/>
                <w:szCs w:val="22"/>
              </w:rPr>
            </w:pPr>
            <w:r>
              <w:rPr>
                <w:sz w:val="22"/>
                <w:szCs w:val="22"/>
              </w:rPr>
              <w:t>He has made a list of all listed buildings within SSQ and of other ancient monuments. He will let Hilary have the list</w:t>
            </w:r>
          </w:p>
        </w:tc>
        <w:tc>
          <w:tcPr>
            <w:tcW w:w="1268" w:type="dxa"/>
          </w:tcPr>
          <w:p w14:paraId="180E9656" w14:textId="0E9321E8" w:rsidR="00823A03" w:rsidRDefault="00823A03" w:rsidP="0046007D">
            <w:pPr>
              <w:pStyle w:val="Heading1"/>
              <w:rPr>
                <w:rFonts w:cs="Arial"/>
                <w:b w:val="0"/>
                <w:sz w:val="22"/>
                <w:szCs w:val="22"/>
              </w:rPr>
            </w:pPr>
            <w:r>
              <w:rPr>
                <w:rFonts w:cs="Arial"/>
                <w:b w:val="0"/>
                <w:sz w:val="22"/>
                <w:szCs w:val="22"/>
              </w:rPr>
              <w:t>Mike</w:t>
            </w:r>
          </w:p>
        </w:tc>
      </w:tr>
      <w:tr w:rsidR="00823A03" w:rsidRPr="0046007D" w14:paraId="6FB33A07" w14:textId="77777777" w:rsidTr="00D036FA">
        <w:trPr>
          <w:cantSplit/>
        </w:trPr>
        <w:tc>
          <w:tcPr>
            <w:tcW w:w="863" w:type="dxa"/>
          </w:tcPr>
          <w:p w14:paraId="351E279C" w14:textId="77777777" w:rsidR="00823A03" w:rsidRPr="0046007D" w:rsidRDefault="00823A03" w:rsidP="0046007D">
            <w:pPr>
              <w:ind w:left="170"/>
              <w:rPr>
                <w:rFonts w:cs="Arial"/>
                <w:bCs/>
                <w:sz w:val="22"/>
                <w:szCs w:val="22"/>
              </w:rPr>
            </w:pPr>
          </w:p>
        </w:tc>
        <w:tc>
          <w:tcPr>
            <w:tcW w:w="6747" w:type="dxa"/>
          </w:tcPr>
          <w:p w14:paraId="49C614DB" w14:textId="77777777" w:rsidR="00823A03" w:rsidRDefault="00823A03" w:rsidP="0046007D">
            <w:pPr>
              <w:rPr>
                <w:sz w:val="22"/>
                <w:szCs w:val="22"/>
              </w:rPr>
            </w:pPr>
            <w:r>
              <w:rPr>
                <w:sz w:val="22"/>
                <w:szCs w:val="22"/>
              </w:rPr>
              <w:t>In October we agreed a new Mission Statement:</w:t>
            </w:r>
          </w:p>
          <w:p w14:paraId="3B3BED15" w14:textId="77777777" w:rsidR="00823A03" w:rsidRPr="00823A03" w:rsidRDefault="00823A03" w:rsidP="00823A03">
            <w:pPr>
              <w:rPr>
                <w:sz w:val="22"/>
                <w:szCs w:val="22"/>
              </w:rPr>
            </w:pPr>
            <w:r w:rsidRPr="00823A03">
              <w:rPr>
                <w:sz w:val="22"/>
                <w:szCs w:val="22"/>
              </w:rPr>
              <w:t xml:space="preserve">Stanton St Quintin wishes to develop a forward-looking approach to the changes affecting our community. We aim to maintain the rural attractiveness of the village while sensitively crafting and enhancing the locality. </w:t>
            </w:r>
          </w:p>
          <w:p w14:paraId="050320A4" w14:textId="77777777" w:rsidR="00823A03" w:rsidRPr="00823A03" w:rsidRDefault="00823A03" w:rsidP="00823A03">
            <w:pPr>
              <w:rPr>
                <w:sz w:val="22"/>
                <w:szCs w:val="22"/>
              </w:rPr>
            </w:pPr>
            <w:r w:rsidRPr="00823A03">
              <w:rPr>
                <w:sz w:val="22"/>
                <w:szCs w:val="22"/>
              </w:rPr>
              <w:t>We acknowledge there are changes that impact our community and we wish to maximise the opportunity presented to the parish by those changes.</w:t>
            </w:r>
          </w:p>
          <w:p w14:paraId="60E26D87" w14:textId="4661081B" w:rsidR="00823A03" w:rsidRDefault="00823A03" w:rsidP="00606A95">
            <w:pPr>
              <w:rPr>
                <w:sz w:val="22"/>
                <w:szCs w:val="22"/>
              </w:rPr>
            </w:pPr>
            <w:r w:rsidRPr="00823A03">
              <w:rPr>
                <w:sz w:val="22"/>
                <w:szCs w:val="22"/>
              </w:rPr>
              <w:t xml:space="preserve">The Neighbourhood Development Plan will help frame and meet the evolving needs of the community. </w:t>
            </w:r>
          </w:p>
        </w:tc>
        <w:tc>
          <w:tcPr>
            <w:tcW w:w="1268" w:type="dxa"/>
          </w:tcPr>
          <w:p w14:paraId="6990B66C" w14:textId="77777777" w:rsidR="00823A03" w:rsidRDefault="00823A03" w:rsidP="0046007D">
            <w:pPr>
              <w:pStyle w:val="Heading1"/>
              <w:rPr>
                <w:rFonts w:cs="Arial"/>
                <w:b w:val="0"/>
                <w:sz w:val="22"/>
                <w:szCs w:val="22"/>
              </w:rPr>
            </w:pPr>
          </w:p>
        </w:tc>
      </w:tr>
      <w:tr w:rsidR="0046007D" w:rsidRPr="00975D43" w14:paraId="138438F2" w14:textId="77777777" w:rsidTr="00D036FA">
        <w:trPr>
          <w:cantSplit/>
        </w:trPr>
        <w:tc>
          <w:tcPr>
            <w:tcW w:w="863" w:type="dxa"/>
          </w:tcPr>
          <w:p w14:paraId="3F953304" w14:textId="4F1AE834" w:rsidR="0046007D" w:rsidRPr="00975D43" w:rsidRDefault="0046007D" w:rsidP="00182307">
            <w:pPr>
              <w:numPr>
                <w:ilvl w:val="0"/>
                <w:numId w:val="1"/>
              </w:numPr>
              <w:rPr>
                <w:rFonts w:cs="Arial"/>
                <w:b/>
                <w:bCs/>
                <w:sz w:val="22"/>
                <w:szCs w:val="22"/>
              </w:rPr>
            </w:pPr>
          </w:p>
        </w:tc>
        <w:tc>
          <w:tcPr>
            <w:tcW w:w="6747" w:type="dxa"/>
          </w:tcPr>
          <w:p w14:paraId="59D2EF34" w14:textId="77777777" w:rsidR="0046007D" w:rsidRPr="00975D43" w:rsidRDefault="005B62C9" w:rsidP="0046007D">
            <w:pPr>
              <w:pStyle w:val="Heading1"/>
              <w:rPr>
                <w:rFonts w:cs="Arial"/>
                <w:sz w:val="22"/>
                <w:szCs w:val="22"/>
              </w:rPr>
            </w:pPr>
            <w:r>
              <w:rPr>
                <w:rFonts w:cs="Arial"/>
                <w:sz w:val="22"/>
                <w:szCs w:val="22"/>
              </w:rPr>
              <w:t>Treasurer’s report</w:t>
            </w:r>
          </w:p>
        </w:tc>
        <w:tc>
          <w:tcPr>
            <w:tcW w:w="1268" w:type="dxa"/>
          </w:tcPr>
          <w:p w14:paraId="0C2F7410" w14:textId="77777777" w:rsidR="0046007D" w:rsidRPr="00975D43" w:rsidRDefault="0046007D" w:rsidP="00182307">
            <w:pPr>
              <w:pStyle w:val="Heading1"/>
              <w:rPr>
                <w:rFonts w:cs="Arial"/>
                <w:sz w:val="22"/>
                <w:szCs w:val="22"/>
              </w:rPr>
            </w:pPr>
          </w:p>
        </w:tc>
      </w:tr>
      <w:tr w:rsidR="005B011F" w:rsidRPr="00975D43" w14:paraId="46BE9458" w14:textId="77777777" w:rsidTr="00D036FA">
        <w:trPr>
          <w:cantSplit/>
        </w:trPr>
        <w:tc>
          <w:tcPr>
            <w:tcW w:w="863" w:type="dxa"/>
          </w:tcPr>
          <w:p w14:paraId="5289590E" w14:textId="77777777" w:rsidR="005B011F" w:rsidRPr="00975D43" w:rsidRDefault="005B011F" w:rsidP="00182307">
            <w:pPr>
              <w:numPr>
                <w:ilvl w:val="1"/>
                <w:numId w:val="1"/>
              </w:numPr>
              <w:rPr>
                <w:rFonts w:cs="Arial"/>
                <w:b/>
                <w:bCs/>
                <w:sz w:val="22"/>
                <w:szCs w:val="22"/>
              </w:rPr>
            </w:pPr>
          </w:p>
        </w:tc>
        <w:tc>
          <w:tcPr>
            <w:tcW w:w="6747" w:type="dxa"/>
          </w:tcPr>
          <w:p w14:paraId="7A2A5050" w14:textId="49858B9D" w:rsidR="00B82D0F" w:rsidRPr="00975D43" w:rsidRDefault="00823A03" w:rsidP="00B6746B">
            <w:pPr>
              <w:autoSpaceDE w:val="0"/>
              <w:autoSpaceDN w:val="0"/>
              <w:adjustRightInd w:val="0"/>
              <w:rPr>
                <w:sz w:val="22"/>
                <w:szCs w:val="22"/>
              </w:rPr>
            </w:pPr>
            <w:r>
              <w:rPr>
                <w:sz w:val="22"/>
                <w:szCs w:val="22"/>
              </w:rPr>
              <w:t>Current bank balance £3804.55, of which £3600 is committed to Lemon Gazelle.</w:t>
            </w:r>
          </w:p>
        </w:tc>
        <w:tc>
          <w:tcPr>
            <w:tcW w:w="1268" w:type="dxa"/>
          </w:tcPr>
          <w:p w14:paraId="4ED46F4C" w14:textId="697FD4E5" w:rsidR="00AE3020" w:rsidRPr="00AE3020" w:rsidRDefault="00AE3020" w:rsidP="005A50ED"/>
        </w:tc>
      </w:tr>
      <w:tr w:rsidR="000D1BE9" w:rsidRPr="00975D43" w14:paraId="21390C56" w14:textId="77777777" w:rsidTr="00D036FA">
        <w:trPr>
          <w:cantSplit/>
        </w:trPr>
        <w:tc>
          <w:tcPr>
            <w:tcW w:w="863" w:type="dxa"/>
          </w:tcPr>
          <w:p w14:paraId="545E4DF4" w14:textId="77777777" w:rsidR="000D1BE9" w:rsidRPr="00975D43" w:rsidRDefault="000D1BE9" w:rsidP="000D1BE9">
            <w:pPr>
              <w:numPr>
                <w:ilvl w:val="0"/>
                <w:numId w:val="1"/>
              </w:numPr>
              <w:rPr>
                <w:rFonts w:cs="Arial"/>
                <w:b/>
                <w:bCs/>
                <w:sz w:val="22"/>
                <w:szCs w:val="22"/>
              </w:rPr>
            </w:pPr>
          </w:p>
        </w:tc>
        <w:tc>
          <w:tcPr>
            <w:tcW w:w="6747" w:type="dxa"/>
          </w:tcPr>
          <w:p w14:paraId="40E17610" w14:textId="64661F91" w:rsidR="000D1BE9" w:rsidRPr="000D1BE9" w:rsidRDefault="00A75216" w:rsidP="00A75216">
            <w:pPr>
              <w:rPr>
                <w:b/>
                <w:sz w:val="22"/>
                <w:szCs w:val="22"/>
              </w:rPr>
            </w:pPr>
            <w:r w:rsidRPr="00A75216">
              <w:rPr>
                <w:rFonts w:cs="Arial"/>
                <w:b/>
                <w:sz w:val="22"/>
                <w:szCs w:val="22"/>
              </w:rPr>
              <w:t>Feedback from WC NP Forum 8/10/18</w:t>
            </w:r>
          </w:p>
        </w:tc>
        <w:tc>
          <w:tcPr>
            <w:tcW w:w="1268" w:type="dxa"/>
          </w:tcPr>
          <w:p w14:paraId="247B1749" w14:textId="77777777" w:rsidR="000D1BE9" w:rsidRPr="00975D43" w:rsidRDefault="000D1BE9" w:rsidP="00182307">
            <w:pPr>
              <w:pStyle w:val="Heading1"/>
              <w:rPr>
                <w:rFonts w:cs="Arial"/>
                <w:b w:val="0"/>
                <w:sz w:val="22"/>
                <w:szCs w:val="22"/>
              </w:rPr>
            </w:pPr>
          </w:p>
        </w:tc>
      </w:tr>
      <w:tr w:rsidR="005A50ED" w:rsidRPr="00975D43" w14:paraId="237EEAAF" w14:textId="77777777" w:rsidTr="00D036FA">
        <w:trPr>
          <w:cantSplit/>
        </w:trPr>
        <w:tc>
          <w:tcPr>
            <w:tcW w:w="863" w:type="dxa"/>
          </w:tcPr>
          <w:p w14:paraId="76262C8D" w14:textId="77777777" w:rsidR="005A50ED" w:rsidRPr="00975D43" w:rsidRDefault="005A50ED" w:rsidP="000D1BE9">
            <w:pPr>
              <w:numPr>
                <w:ilvl w:val="1"/>
                <w:numId w:val="1"/>
              </w:numPr>
              <w:rPr>
                <w:rFonts w:cs="Arial"/>
                <w:b/>
                <w:bCs/>
                <w:sz w:val="22"/>
                <w:szCs w:val="22"/>
              </w:rPr>
            </w:pPr>
          </w:p>
        </w:tc>
        <w:tc>
          <w:tcPr>
            <w:tcW w:w="6747" w:type="dxa"/>
          </w:tcPr>
          <w:p w14:paraId="31881A5B" w14:textId="54779C63" w:rsidR="004637E5" w:rsidRPr="004637E5" w:rsidRDefault="00A75216" w:rsidP="00A75216">
            <w:pPr>
              <w:ind w:right="-7"/>
              <w:rPr>
                <w:sz w:val="22"/>
                <w:szCs w:val="22"/>
              </w:rPr>
            </w:pPr>
            <w:r>
              <w:rPr>
                <w:sz w:val="22"/>
                <w:szCs w:val="22"/>
              </w:rPr>
              <w:t>Paul had attended a NP Forum run by Wiltshire Council. He met with the Head of NP and with our liaison officer. They are happy with our progress. He discussed our plans for the boundaries of the village and they agreed. The only outstanding issue is what we do with the Barracks. Should we include them in the boundary of the village or not?</w:t>
            </w:r>
          </w:p>
        </w:tc>
        <w:tc>
          <w:tcPr>
            <w:tcW w:w="1268" w:type="dxa"/>
          </w:tcPr>
          <w:p w14:paraId="4D67D5B9" w14:textId="28D63203" w:rsidR="005A50ED" w:rsidRDefault="005A50ED" w:rsidP="00182307">
            <w:pPr>
              <w:pStyle w:val="Heading1"/>
              <w:rPr>
                <w:rFonts w:cs="Arial"/>
                <w:b w:val="0"/>
                <w:sz w:val="22"/>
                <w:szCs w:val="22"/>
              </w:rPr>
            </w:pPr>
          </w:p>
        </w:tc>
      </w:tr>
      <w:tr w:rsidR="009A1A4C" w:rsidRPr="00975D43" w14:paraId="569AA6A3" w14:textId="77777777" w:rsidTr="00D036FA">
        <w:trPr>
          <w:cantSplit/>
        </w:trPr>
        <w:tc>
          <w:tcPr>
            <w:tcW w:w="863" w:type="dxa"/>
          </w:tcPr>
          <w:p w14:paraId="0E3FA345" w14:textId="77777777" w:rsidR="009A1A4C" w:rsidRPr="00975D43" w:rsidRDefault="009A1A4C" w:rsidP="000D1BE9">
            <w:pPr>
              <w:numPr>
                <w:ilvl w:val="1"/>
                <w:numId w:val="1"/>
              </w:numPr>
              <w:rPr>
                <w:rFonts w:cs="Arial"/>
                <w:b/>
                <w:bCs/>
                <w:sz w:val="22"/>
                <w:szCs w:val="22"/>
              </w:rPr>
            </w:pPr>
          </w:p>
        </w:tc>
        <w:tc>
          <w:tcPr>
            <w:tcW w:w="6747" w:type="dxa"/>
          </w:tcPr>
          <w:p w14:paraId="3A674956" w14:textId="0BB767A5" w:rsidR="009A1A4C" w:rsidRDefault="00A75216" w:rsidP="00C025B9">
            <w:pPr>
              <w:ind w:right="-7"/>
              <w:rPr>
                <w:sz w:val="22"/>
                <w:szCs w:val="22"/>
              </w:rPr>
            </w:pPr>
            <w:r>
              <w:rPr>
                <w:sz w:val="22"/>
                <w:szCs w:val="22"/>
              </w:rPr>
              <w:t>It was a good opportunity to meet with others who are working on their NPs. He concluded that we are further on than most of the others.</w:t>
            </w:r>
          </w:p>
        </w:tc>
        <w:tc>
          <w:tcPr>
            <w:tcW w:w="1268" w:type="dxa"/>
          </w:tcPr>
          <w:p w14:paraId="277535B8" w14:textId="77777777" w:rsidR="009A1A4C" w:rsidRDefault="009A1A4C" w:rsidP="00182307">
            <w:pPr>
              <w:pStyle w:val="Heading1"/>
              <w:rPr>
                <w:rFonts w:cs="Arial"/>
                <w:b w:val="0"/>
                <w:sz w:val="22"/>
                <w:szCs w:val="22"/>
              </w:rPr>
            </w:pPr>
          </w:p>
        </w:tc>
      </w:tr>
      <w:tr w:rsidR="00A75216" w:rsidRPr="00975D43" w14:paraId="2494A190" w14:textId="77777777" w:rsidTr="00D036FA">
        <w:trPr>
          <w:cantSplit/>
        </w:trPr>
        <w:tc>
          <w:tcPr>
            <w:tcW w:w="863" w:type="dxa"/>
          </w:tcPr>
          <w:p w14:paraId="3EFB1054" w14:textId="77777777" w:rsidR="00A75216" w:rsidRPr="00975D43" w:rsidRDefault="00A75216" w:rsidP="000D1BE9">
            <w:pPr>
              <w:numPr>
                <w:ilvl w:val="1"/>
                <w:numId w:val="1"/>
              </w:numPr>
              <w:rPr>
                <w:rFonts w:cs="Arial"/>
                <w:b/>
                <w:bCs/>
                <w:sz w:val="22"/>
                <w:szCs w:val="22"/>
              </w:rPr>
            </w:pPr>
          </w:p>
        </w:tc>
        <w:tc>
          <w:tcPr>
            <w:tcW w:w="6747" w:type="dxa"/>
          </w:tcPr>
          <w:p w14:paraId="40AE45AD" w14:textId="26C3C77D" w:rsidR="00A75216" w:rsidRDefault="00A75216" w:rsidP="00C025B9">
            <w:pPr>
              <w:ind w:right="-7"/>
              <w:rPr>
                <w:sz w:val="22"/>
                <w:szCs w:val="22"/>
              </w:rPr>
            </w:pPr>
            <w:r>
              <w:rPr>
                <w:sz w:val="22"/>
                <w:szCs w:val="22"/>
              </w:rPr>
              <w:t>He also learned that Wilts Council advice is for NPs to go to 2036, not just to 2026. Also the definition of affordable housing is being refined.</w:t>
            </w:r>
          </w:p>
        </w:tc>
        <w:tc>
          <w:tcPr>
            <w:tcW w:w="1268" w:type="dxa"/>
          </w:tcPr>
          <w:p w14:paraId="78B3CB8C" w14:textId="77777777" w:rsidR="00A75216" w:rsidRDefault="00A75216" w:rsidP="00182307">
            <w:pPr>
              <w:pStyle w:val="Heading1"/>
              <w:rPr>
                <w:rFonts w:cs="Arial"/>
                <w:b w:val="0"/>
                <w:sz w:val="22"/>
                <w:szCs w:val="22"/>
              </w:rPr>
            </w:pPr>
          </w:p>
        </w:tc>
      </w:tr>
      <w:tr w:rsidR="00A75216" w:rsidRPr="00975D43" w14:paraId="7749744F" w14:textId="77777777" w:rsidTr="00D036FA">
        <w:trPr>
          <w:cantSplit/>
        </w:trPr>
        <w:tc>
          <w:tcPr>
            <w:tcW w:w="863" w:type="dxa"/>
          </w:tcPr>
          <w:p w14:paraId="03CA2D9B" w14:textId="77777777" w:rsidR="00A75216" w:rsidRPr="00975D43" w:rsidRDefault="00A75216" w:rsidP="000D1BE9">
            <w:pPr>
              <w:numPr>
                <w:ilvl w:val="1"/>
                <w:numId w:val="1"/>
              </w:numPr>
              <w:rPr>
                <w:rFonts w:cs="Arial"/>
                <w:b/>
                <w:bCs/>
                <w:sz w:val="22"/>
                <w:szCs w:val="22"/>
              </w:rPr>
            </w:pPr>
          </w:p>
        </w:tc>
        <w:tc>
          <w:tcPr>
            <w:tcW w:w="6747" w:type="dxa"/>
          </w:tcPr>
          <w:p w14:paraId="1380DCDC" w14:textId="77777777" w:rsidR="00A75216" w:rsidRDefault="00A75216" w:rsidP="00C025B9">
            <w:pPr>
              <w:ind w:right="-7"/>
              <w:rPr>
                <w:sz w:val="22"/>
                <w:szCs w:val="22"/>
              </w:rPr>
            </w:pPr>
            <w:r>
              <w:rPr>
                <w:sz w:val="22"/>
                <w:szCs w:val="22"/>
              </w:rPr>
              <w:t>He will circulate the slides from the meeting.</w:t>
            </w:r>
          </w:p>
          <w:p w14:paraId="51A5B0B9" w14:textId="77777777" w:rsidR="00606A95" w:rsidRDefault="00606A95" w:rsidP="00C025B9">
            <w:pPr>
              <w:ind w:right="-7"/>
              <w:rPr>
                <w:sz w:val="22"/>
                <w:szCs w:val="22"/>
              </w:rPr>
            </w:pPr>
          </w:p>
          <w:p w14:paraId="5C798A03" w14:textId="77777777" w:rsidR="00606A95" w:rsidRDefault="00606A95" w:rsidP="00C025B9">
            <w:pPr>
              <w:ind w:right="-7"/>
              <w:rPr>
                <w:sz w:val="22"/>
                <w:szCs w:val="22"/>
              </w:rPr>
            </w:pPr>
          </w:p>
          <w:p w14:paraId="3DB08901" w14:textId="77777777" w:rsidR="00606A95" w:rsidRDefault="00606A95" w:rsidP="00C025B9">
            <w:pPr>
              <w:ind w:right="-7"/>
              <w:rPr>
                <w:sz w:val="22"/>
                <w:szCs w:val="22"/>
              </w:rPr>
            </w:pPr>
            <w:bookmarkStart w:id="0" w:name="_GoBack"/>
            <w:bookmarkEnd w:id="0"/>
          </w:p>
          <w:p w14:paraId="7E444668" w14:textId="57FFF462" w:rsidR="00606A95" w:rsidRDefault="00606A95" w:rsidP="00C025B9">
            <w:pPr>
              <w:ind w:right="-7"/>
              <w:rPr>
                <w:sz w:val="22"/>
                <w:szCs w:val="22"/>
              </w:rPr>
            </w:pPr>
          </w:p>
        </w:tc>
        <w:tc>
          <w:tcPr>
            <w:tcW w:w="1268" w:type="dxa"/>
          </w:tcPr>
          <w:p w14:paraId="1C4DFF57" w14:textId="77777777" w:rsidR="00A75216" w:rsidRDefault="00A75216" w:rsidP="00182307">
            <w:pPr>
              <w:pStyle w:val="Heading1"/>
              <w:rPr>
                <w:rFonts w:cs="Arial"/>
                <w:b w:val="0"/>
                <w:sz w:val="22"/>
                <w:szCs w:val="22"/>
              </w:rPr>
            </w:pPr>
          </w:p>
        </w:tc>
      </w:tr>
      <w:tr w:rsidR="0046007D" w:rsidRPr="00975D43" w14:paraId="1A21375F" w14:textId="77777777" w:rsidTr="00D036FA">
        <w:trPr>
          <w:cantSplit/>
        </w:trPr>
        <w:tc>
          <w:tcPr>
            <w:tcW w:w="863" w:type="dxa"/>
          </w:tcPr>
          <w:p w14:paraId="56FDF232" w14:textId="77777777" w:rsidR="0046007D" w:rsidRPr="00975D43" w:rsidRDefault="0046007D" w:rsidP="00A75216">
            <w:pPr>
              <w:numPr>
                <w:ilvl w:val="0"/>
                <w:numId w:val="1"/>
              </w:numPr>
              <w:rPr>
                <w:rFonts w:cs="Arial"/>
                <w:b/>
                <w:bCs/>
                <w:sz w:val="22"/>
                <w:szCs w:val="22"/>
              </w:rPr>
            </w:pPr>
          </w:p>
        </w:tc>
        <w:tc>
          <w:tcPr>
            <w:tcW w:w="6747" w:type="dxa"/>
          </w:tcPr>
          <w:p w14:paraId="674151F6" w14:textId="25781AC2" w:rsidR="0046007D" w:rsidRPr="00975D43" w:rsidRDefault="005A50ED" w:rsidP="00A75216">
            <w:pPr>
              <w:tabs>
                <w:tab w:val="center" w:pos="3269"/>
              </w:tabs>
              <w:ind w:left="567" w:right="-7" w:hanging="567"/>
              <w:rPr>
                <w:rFonts w:cs="Calibri"/>
                <w:b/>
                <w:sz w:val="22"/>
                <w:szCs w:val="22"/>
              </w:rPr>
            </w:pPr>
            <w:r>
              <w:rPr>
                <w:rFonts w:cs="Calibri"/>
                <w:b/>
                <w:sz w:val="22"/>
                <w:szCs w:val="22"/>
              </w:rPr>
              <w:t xml:space="preserve">LG </w:t>
            </w:r>
            <w:r w:rsidR="00A75216">
              <w:rPr>
                <w:rFonts w:cs="Calibri"/>
                <w:b/>
                <w:sz w:val="22"/>
                <w:szCs w:val="22"/>
              </w:rPr>
              <w:t>Refining</w:t>
            </w:r>
            <w:r>
              <w:rPr>
                <w:rFonts w:cs="Calibri"/>
                <w:b/>
                <w:sz w:val="22"/>
                <w:szCs w:val="22"/>
              </w:rPr>
              <w:t xml:space="preserve"> Options Worksheet</w:t>
            </w:r>
          </w:p>
        </w:tc>
        <w:tc>
          <w:tcPr>
            <w:tcW w:w="1268" w:type="dxa"/>
          </w:tcPr>
          <w:p w14:paraId="4FF2367D" w14:textId="77777777" w:rsidR="0046007D" w:rsidRPr="00975D43" w:rsidRDefault="0046007D" w:rsidP="00182307">
            <w:pPr>
              <w:rPr>
                <w:rFonts w:cs="Arial"/>
                <w:bCs/>
                <w:sz w:val="22"/>
                <w:szCs w:val="22"/>
              </w:rPr>
            </w:pPr>
          </w:p>
        </w:tc>
      </w:tr>
      <w:tr w:rsidR="002F08DC" w:rsidRPr="002F08DC" w14:paraId="3DD8486D" w14:textId="77777777" w:rsidTr="00D036FA">
        <w:trPr>
          <w:cantSplit/>
        </w:trPr>
        <w:tc>
          <w:tcPr>
            <w:tcW w:w="863" w:type="dxa"/>
          </w:tcPr>
          <w:p w14:paraId="075608D0" w14:textId="77777777" w:rsidR="002F08DC" w:rsidRPr="002F08DC" w:rsidRDefault="002F08DC" w:rsidP="00A75216">
            <w:pPr>
              <w:numPr>
                <w:ilvl w:val="1"/>
                <w:numId w:val="1"/>
              </w:numPr>
              <w:rPr>
                <w:rFonts w:cs="Arial"/>
                <w:bCs/>
                <w:sz w:val="22"/>
                <w:szCs w:val="22"/>
              </w:rPr>
            </w:pPr>
          </w:p>
        </w:tc>
        <w:tc>
          <w:tcPr>
            <w:tcW w:w="6747" w:type="dxa"/>
          </w:tcPr>
          <w:p w14:paraId="0A9CCA1D" w14:textId="578F821C" w:rsidR="00610E05" w:rsidRPr="00EA28A8" w:rsidRDefault="00A75216" w:rsidP="007C1ADC">
            <w:pPr>
              <w:pStyle w:val="Default"/>
              <w:rPr>
                <w:rFonts w:ascii="Arial" w:eastAsia="Times New Roman" w:hAnsi="Arial"/>
                <w:color w:val="auto"/>
                <w:sz w:val="22"/>
                <w:szCs w:val="22"/>
              </w:rPr>
            </w:pPr>
            <w:r>
              <w:rPr>
                <w:rFonts w:ascii="Arial" w:eastAsia="Times New Roman" w:hAnsi="Arial"/>
                <w:color w:val="auto"/>
                <w:sz w:val="22"/>
                <w:szCs w:val="22"/>
              </w:rPr>
              <w:t>We have received from LG a worksheet based on the issues to options one previously worked through – now going on to the next stage of how to pursue the options. Paul set the aim of this meeting to understand what we need to do then in the next 3 weeks email our responses to him for him to populate the worksheet in time for us to agree at the next meeting in December.</w:t>
            </w:r>
          </w:p>
        </w:tc>
        <w:tc>
          <w:tcPr>
            <w:tcW w:w="1268" w:type="dxa"/>
          </w:tcPr>
          <w:p w14:paraId="446A51FE" w14:textId="232DB573" w:rsidR="005A50ED" w:rsidRPr="002F08DC" w:rsidRDefault="005A50ED" w:rsidP="002F08DC">
            <w:pPr>
              <w:rPr>
                <w:rFonts w:cs="Arial"/>
                <w:bCs/>
                <w:sz w:val="22"/>
                <w:szCs w:val="22"/>
              </w:rPr>
            </w:pPr>
          </w:p>
        </w:tc>
      </w:tr>
      <w:tr w:rsidR="00A75216" w:rsidRPr="002F08DC" w14:paraId="3F6D6A05" w14:textId="77777777" w:rsidTr="00D036FA">
        <w:trPr>
          <w:cantSplit/>
        </w:trPr>
        <w:tc>
          <w:tcPr>
            <w:tcW w:w="863" w:type="dxa"/>
          </w:tcPr>
          <w:p w14:paraId="7B61A0C2" w14:textId="77777777" w:rsidR="00A75216" w:rsidRPr="002F08DC" w:rsidRDefault="00A75216" w:rsidP="00A75216">
            <w:pPr>
              <w:numPr>
                <w:ilvl w:val="1"/>
                <w:numId w:val="1"/>
              </w:numPr>
              <w:rPr>
                <w:rFonts w:cs="Arial"/>
                <w:bCs/>
                <w:sz w:val="22"/>
                <w:szCs w:val="22"/>
              </w:rPr>
            </w:pPr>
          </w:p>
        </w:tc>
        <w:tc>
          <w:tcPr>
            <w:tcW w:w="6747" w:type="dxa"/>
          </w:tcPr>
          <w:p w14:paraId="6B611C59" w14:textId="6F232DEE" w:rsidR="00A75216" w:rsidRDefault="00A75216" w:rsidP="00A75216">
            <w:pPr>
              <w:pStyle w:val="Default"/>
              <w:rPr>
                <w:rFonts w:ascii="Arial" w:eastAsia="Times New Roman" w:hAnsi="Arial"/>
                <w:color w:val="auto"/>
                <w:sz w:val="22"/>
                <w:szCs w:val="22"/>
              </w:rPr>
            </w:pPr>
            <w:r>
              <w:rPr>
                <w:rFonts w:ascii="Arial" w:eastAsia="Times New Roman" w:hAnsi="Arial"/>
                <w:color w:val="auto"/>
                <w:sz w:val="22"/>
                <w:szCs w:val="22"/>
              </w:rPr>
              <w:t xml:space="preserve">We went through the worksheet raising queries in each section. Paul thinks that we can challenge some yellow and some green boxes. </w:t>
            </w:r>
            <w:r w:rsidR="00390C34">
              <w:rPr>
                <w:rFonts w:ascii="Arial" w:eastAsia="Times New Roman" w:hAnsi="Arial"/>
                <w:color w:val="auto"/>
                <w:sz w:val="22"/>
                <w:szCs w:val="22"/>
              </w:rPr>
              <w:t xml:space="preserve"> A reminder of what the colour coding means.</w:t>
            </w:r>
          </w:p>
        </w:tc>
        <w:tc>
          <w:tcPr>
            <w:tcW w:w="1268" w:type="dxa"/>
          </w:tcPr>
          <w:p w14:paraId="07897580" w14:textId="77777777" w:rsidR="00A75216" w:rsidRPr="002F08DC" w:rsidRDefault="00A75216" w:rsidP="002F08DC">
            <w:pPr>
              <w:rPr>
                <w:rFonts w:cs="Arial"/>
                <w:bCs/>
                <w:sz w:val="22"/>
                <w:szCs w:val="22"/>
              </w:rPr>
            </w:pPr>
          </w:p>
        </w:tc>
      </w:tr>
      <w:tr w:rsidR="00390C34" w:rsidRPr="002F08DC" w14:paraId="03C45AC5" w14:textId="77777777" w:rsidTr="00D036FA">
        <w:trPr>
          <w:cantSplit/>
        </w:trPr>
        <w:tc>
          <w:tcPr>
            <w:tcW w:w="863" w:type="dxa"/>
          </w:tcPr>
          <w:p w14:paraId="05351F86" w14:textId="77777777" w:rsidR="00390C34" w:rsidRPr="002F08DC" w:rsidRDefault="00390C34" w:rsidP="00A75216">
            <w:pPr>
              <w:numPr>
                <w:ilvl w:val="1"/>
                <w:numId w:val="1"/>
              </w:numPr>
              <w:rPr>
                <w:rFonts w:cs="Arial"/>
                <w:bCs/>
                <w:sz w:val="22"/>
                <w:szCs w:val="22"/>
              </w:rPr>
            </w:pPr>
          </w:p>
        </w:tc>
        <w:tc>
          <w:tcPr>
            <w:tcW w:w="67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1843"/>
              <w:gridCol w:w="1696"/>
              <w:gridCol w:w="1843"/>
            </w:tblGrid>
            <w:tr w:rsidR="00390C34" w14:paraId="3238E2B5" w14:textId="77777777" w:rsidTr="004A156A">
              <w:trPr>
                <w:trHeight w:val="1672"/>
              </w:trPr>
              <w:tc>
                <w:tcPr>
                  <w:tcW w:w="1843" w:type="dxa"/>
                  <w:shd w:val="clear" w:color="auto" w:fill="00B050"/>
                  <w:vAlign w:val="center"/>
                </w:tcPr>
                <w:p w14:paraId="1EDAE80C" w14:textId="77777777" w:rsidR="00390C34" w:rsidRPr="00AC0C72" w:rsidRDefault="00390C34" w:rsidP="00390C34">
                  <w:pPr>
                    <w:jc w:val="center"/>
                    <w:rPr>
                      <w:sz w:val="28"/>
                      <w:szCs w:val="28"/>
                    </w:rPr>
                  </w:pPr>
                  <w:r w:rsidRPr="00AC0C72">
                    <w:rPr>
                      <w:color w:val="FFFFFF" w:themeColor="background1"/>
                      <w:sz w:val="28"/>
                      <w:szCs w:val="28"/>
                    </w:rPr>
                    <w:t>Likely to be acceptable</w:t>
                  </w:r>
                </w:p>
              </w:tc>
              <w:tc>
                <w:tcPr>
                  <w:tcW w:w="1696" w:type="dxa"/>
                  <w:shd w:val="clear" w:color="auto" w:fill="FEC000"/>
                  <w:vAlign w:val="center"/>
                </w:tcPr>
                <w:p w14:paraId="4F04DBD7" w14:textId="77777777" w:rsidR="00390C34" w:rsidRPr="00AC0C72" w:rsidRDefault="00390C34" w:rsidP="00390C34">
                  <w:pPr>
                    <w:jc w:val="center"/>
                    <w:rPr>
                      <w:color w:val="FFFFFF" w:themeColor="background1"/>
                      <w:sz w:val="28"/>
                      <w:szCs w:val="28"/>
                    </w:rPr>
                  </w:pPr>
                  <w:r w:rsidRPr="00AC0C72">
                    <w:rPr>
                      <w:color w:val="FFFFFF" w:themeColor="background1"/>
                      <w:sz w:val="28"/>
                      <w:szCs w:val="28"/>
                    </w:rPr>
                    <w:t>Possibly acceptable</w:t>
                  </w:r>
                </w:p>
              </w:tc>
              <w:tc>
                <w:tcPr>
                  <w:tcW w:w="1843" w:type="dxa"/>
                  <w:shd w:val="clear" w:color="auto" w:fill="FF0000"/>
                  <w:vAlign w:val="center"/>
                </w:tcPr>
                <w:p w14:paraId="0872ABE3" w14:textId="77777777" w:rsidR="00390C34" w:rsidRPr="00AC0C72" w:rsidRDefault="00390C34" w:rsidP="00390C34">
                  <w:pPr>
                    <w:jc w:val="center"/>
                    <w:rPr>
                      <w:sz w:val="28"/>
                      <w:szCs w:val="28"/>
                    </w:rPr>
                  </w:pPr>
                  <w:r w:rsidRPr="00AC0C72">
                    <w:rPr>
                      <w:color w:val="FFFFFF" w:themeColor="background1"/>
                      <w:sz w:val="28"/>
                      <w:szCs w:val="28"/>
                    </w:rPr>
                    <w:t>Unlikely to be acceptable</w:t>
                  </w:r>
                </w:p>
              </w:tc>
            </w:tr>
          </w:tbl>
          <w:p w14:paraId="62070CE1" w14:textId="77777777" w:rsidR="00390C34" w:rsidRDefault="00390C34" w:rsidP="00A75216">
            <w:pPr>
              <w:pStyle w:val="Default"/>
              <w:rPr>
                <w:rFonts w:ascii="Arial" w:eastAsia="Times New Roman" w:hAnsi="Arial"/>
                <w:color w:val="auto"/>
                <w:sz w:val="22"/>
                <w:szCs w:val="22"/>
              </w:rPr>
            </w:pPr>
          </w:p>
        </w:tc>
        <w:tc>
          <w:tcPr>
            <w:tcW w:w="1268" w:type="dxa"/>
          </w:tcPr>
          <w:p w14:paraId="4385EC3B" w14:textId="77777777" w:rsidR="00390C34" w:rsidRPr="002F08DC" w:rsidRDefault="00390C34" w:rsidP="002F08DC">
            <w:pPr>
              <w:rPr>
                <w:rFonts w:cs="Arial"/>
                <w:bCs/>
                <w:sz w:val="22"/>
                <w:szCs w:val="22"/>
              </w:rPr>
            </w:pPr>
          </w:p>
        </w:tc>
      </w:tr>
      <w:tr w:rsidR="00390C34" w:rsidRPr="002F08DC" w14:paraId="53CC09E6" w14:textId="77777777" w:rsidTr="00D036FA">
        <w:trPr>
          <w:cantSplit/>
        </w:trPr>
        <w:tc>
          <w:tcPr>
            <w:tcW w:w="863" w:type="dxa"/>
          </w:tcPr>
          <w:p w14:paraId="633917EB" w14:textId="77777777" w:rsidR="00390C34" w:rsidRPr="002F08DC" w:rsidRDefault="00390C34" w:rsidP="00A75216">
            <w:pPr>
              <w:numPr>
                <w:ilvl w:val="1"/>
                <w:numId w:val="1"/>
              </w:numPr>
              <w:rPr>
                <w:rFonts w:cs="Arial"/>
                <w:bCs/>
                <w:sz w:val="22"/>
                <w:szCs w:val="22"/>
              </w:rPr>
            </w:pPr>
          </w:p>
        </w:tc>
        <w:tc>
          <w:tcPr>
            <w:tcW w:w="6747" w:type="dxa"/>
          </w:tcPr>
          <w:p w14:paraId="20578B4F" w14:textId="07F54BE9" w:rsidR="00390C34" w:rsidRPr="00390C34" w:rsidRDefault="00390C34" w:rsidP="00390C34">
            <w:pPr>
              <w:rPr>
                <w:sz w:val="22"/>
                <w:szCs w:val="22"/>
              </w:rPr>
            </w:pPr>
            <w:r>
              <w:rPr>
                <w:sz w:val="22"/>
                <w:szCs w:val="22"/>
              </w:rPr>
              <w:t>The query about the housing on Buckley Barracks arose again – Mike and Graeme will establish the number of houses on the Barracks which are part of SSQ and which are in St Pauls Malmesbury Without.</w:t>
            </w:r>
          </w:p>
        </w:tc>
        <w:tc>
          <w:tcPr>
            <w:tcW w:w="1268" w:type="dxa"/>
          </w:tcPr>
          <w:p w14:paraId="59880F9E" w14:textId="77777777" w:rsidR="00390C34" w:rsidRPr="002F08DC" w:rsidRDefault="00390C34" w:rsidP="002F08DC">
            <w:pPr>
              <w:rPr>
                <w:rFonts w:cs="Arial"/>
                <w:bCs/>
                <w:sz w:val="22"/>
                <w:szCs w:val="22"/>
              </w:rPr>
            </w:pPr>
          </w:p>
        </w:tc>
      </w:tr>
      <w:tr w:rsidR="00390C34" w:rsidRPr="002F08DC" w14:paraId="2C868C50" w14:textId="77777777" w:rsidTr="00D036FA">
        <w:trPr>
          <w:cantSplit/>
        </w:trPr>
        <w:tc>
          <w:tcPr>
            <w:tcW w:w="863" w:type="dxa"/>
          </w:tcPr>
          <w:p w14:paraId="6C771629" w14:textId="77777777" w:rsidR="00390C34" w:rsidRPr="002F08DC" w:rsidRDefault="00390C34" w:rsidP="00A75216">
            <w:pPr>
              <w:numPr>
                <w:ilvl w:val="1"/>
                <w:numId w:val="1"/>
              </w:numPr>
              <w:rPr>
                <w:rFonts w:cs="Arial"/>
                <w:bCs/>
                <w:sz w:val="22"/>
                <w:szCs w:val="22"/>
              </w:rPr>
            </w:pPr>
          </w:p>
        </w:tc>
        <w:tc>
          <w:tcPr>
            <w:tcW w:w="6747" w:type="dxa"/>
          </w:tcPr>
          <w:p w14:paraId="2F9A2067" w14:textId="7E0226B3" w:rsidR="00390C34" w:rsidRDefault="00390C34" w:rsidP="00390C34">
            <w:pPr>
              <w:rPr>
                <w:sz w:val="22"/>
                <w:szCs w:val="22"/>
              </w:rPr>
            </w:pPr>
            <w:r>
              <w:rPr>
                <w:sz w:val="22"/>
                <w:szCs w:val="22"/>
              </w:rPr>
              <w:t>There were some options that weren’t understood e.g. page 11 ‘No policy on services and facilities in the Neighbourhood Plan’.  These can be highlighted in our response as well.</w:t>
            </w:r>
          </w:p>
        </w:tc>
        <w:tc>
          <w:tcPr>
            <w:tcW w:w="1268" w:type="dxa"/>
          </w:tcPr>
          <w:p w14:paraId="46D9CC7C" w14:textId="77777777" w:rsidR="00390C34" w:rsidRPr="002F08DC" w:rsidRDefault="00390C34" w:rsidP="002F08DC">
            <w:pPr>
              <w:rPr>
                <w:rFonts w:cs="Arial"/>
                <w:bCs/>
                <w:sz w:val="22"/>
                <w:szCs w:val="22"/>
              </w:rPr>
            </w:pPr>
          </w:p>
        </w:tc>
      </w:tr>
      <w:tr w:rsidR="00390C34" w:rsidRPr="002F08DC" w14:paraId="695FF45A" w14:textId="77777777" w:rsidTr="00D036FA">
        <w:trPr>
          <w:cantSplit/>
        </w:trPr>
        <w:tc>
          <w:tcPr>
            <w:tcW w:w="863" w:type="dxa"/>
          </w:tcPr>
          <w:p w14:paraId="4D319C58" w14:textId="77777777" w:rsidR="00390C34" w:rsidRPr="002F08DC" w:rsidRDefault="00390C34" w:rsidP="00A75216">
            <w:pPr>
              <w:numPr>
                <w:ilvl w:val="1"/>
                <w:numId w:val="1"/>
              </w:numPr>
              <w:rPr>
                <w:rFonts w:cs="Arial"/>
                <w:bCs/>
                <w:sz w:val="22"/>
                <w:szCs w:val="22"/>
              </w:rPr>
            </w:pPr>
          </w:p>
        </w:tc>
        <w:tc>
          <w:tcPr>
            <w:tcW w:w="6747" w:type="dxa"/>
          </w:tcPr>
          <w:p w14:paraId="0347B3CA" w14:textId="69A591D0" w:rsidR="00390C34" w:rsidRDefault="00390C34" w:rsidP="00390C34">
            <w:pPr>
              <w:rPr>
                <w:sz w:val="22"/>
                <w:szCs w:val="22"/>
              </w:rPr>
            </w:pPr>
            <w:r>
              <w:rPr>
                <w:sz w:val="22"/>
                <w:szCs w:val="22"/>
              </w:rPr>
              <w:t>Responses to Paul by 3</w:t>
            </w:r>
            <w:r w:rsidRPr="00390C34">
              <w:rPr>
                <w:sz w:val="22"/>
                <w:szCs w:val="22"/>
                <w:vertAlign w:val="superscript"/>
              </w:rPr>
              <w:t>rd</w:t>
            </w:r>
            <w:r>
              <w:rPr>
                <w:sz w:val="22"/>
                <w:szCs w:val="22"/>
              </w:rPr>
              <w:t xml:space="preserve"> December</w:t>
            </w:r>
          </w:p>
        </w:tc>
        <w:tc>
          <w:tcPr>
            <w:tcW w:w="1268" w:type="dxa"/>
          </w:tcPr>
          <w:p w14:paraId="70C8FB5C" w14:textId="0FD7CCB4" w:rsidR="00390C34" w:rsidRPr="002F08DC" w:rsidRDefault="00390C34" w:rsidP="002F08DC">
            <w:pPr>
              <w:rPr>
                <w:rFonts w:cs="Arial"/>
                <w:bCs/>
                <w:sz w:val="22"/>
                <w:szCs w:val="22"/>
              </w:rPr>
            </w:pPr>
            <w:r>
              <w:rPr>
                <w:rFonts w:cs="Arial"/>
                <w:bCs/>
                <w:sz w:val="22"/>
                <w:szCs w:val="22"/>
              </w:rPr>
              <w:t>All</w:t>
            </w:r>
          </w:p>
        </w:tc>
      </w:tr>
      <w:tr w:rsidR="002F08DC" w:rsidRPr="00975D43" w14:paraId="3FFB340D" w14:textId="77777777" w:rsidTr="00D036FA">
        <w:trPr>
          <w:cantSplit/>
        </w:trPr>
        <w:tc>
          <w:tcPr>
            <w:tcW w:w="863" w:type="dxa"/>
          </w:tcPr>
          <w:p w14:paraId="2D5F5E8E" w14:textId="77777777" w:rsidR="002F08DC" w:rsidRPr="00975D43" w:rsidRDefault="002F08DC" w:rsidP="00A75216">
            <w:pPr>
              <w:numPr>
                <w:ilvl w:val="0"/>
                <w:numId w:val="1"/>
              </w:numPr>
              <w:rPr>
                <w:rFonts w:cs="Arial"/>
                <w:b/>
                <w:bCs/>
                <w:sz w:val="22"/>
                <w:szCs w:val="22"/>
              </w:rPr>
            </w:pPr>
          </w:p>
        </w:tc>
        <w:tc>
          <w:tcPr>
            <w:tcW w:w="6747" w:type="dxa"/>
          </w:tcPr>
          <w:p w14:paraId="3EBB4913" w14:textId="77777777" w:rsidR="002F08DC" w:rsidRDefault="005A50ED" w:rsidP="00EA28A8">
            <w:pPr>
              <w:ind w:left="567" w:right="-7" w:hanging="567"/>
              <w:rPr>
                <w:rFonts w:cs="Calibri"/>
                <w:b/>
                <w:sz w:val="22"/>
                <w:szCs w:val="22"/>
              </w:rPr>
            </w:pPr>
            <w:r>
              <w:rPr>
                <w:rFonts w:cs="Calibri"/>
                <w:b/>
                <w:sz w:val="22"/>
                <w:szCs w:val="22"/>
              </w:rPr>
              <w:t>AOB</w:t>
            </w:r>
          </w:p>
        </w:tc>
        <w:tc>
          <w:tcPr>
            <w:tcW w:w="1268" w:type="dxa"/>
          </w:tcPr>
          <w:p w14:paraId="31EF2F6D" w14:textId="77777777" w:rsidR="002F08DC" w:rsidRPr="00975D43" w:rsidRDefault="002F08DC" w:rsidP="00182307">
            <w:pPr>
              <w:rPr>
                <w:rFonts w:cs="Arial"/>
                <w:bCs/>
                <w:sz w:val="22"/>
                <w:szCs w:val="22"/>
              </w:rPr>
            </w:pPr>
          </w:p>
        </w:tc>
      </w:tr>
      <w:tr w:rsidR="002F08DC" w:rsidRPr="002F08DC" w14:paraId="018F154B" w14:textId="77777777" w:rsidTr="00D036FA">
        <w:trPr>
          <w:cantSplit/>
        </w:trPr>
        <w:tc>
          <w:tcPr>
            <w:tcW w:w="863" w:type="dxa"/>
          </w:tcPr>
          <w:p w14:paraId="2308AD31" w14:textId="77777777" w:rsidR="002F08DC" w:rsidRPr="00A75216" w:rsidRDefault="002F08DC" w:rsidP="00606A95">
            <w:pPr>
              <w:numPr>
                <w:ilvl w:val="1"/>
                <w:numId w:val="1"/>
              </w:numPr>
              <w:rPr>
                <w:rFonts w:cs="Arial"/>
                <w:b/>
                <w:bCs/>
                <w:sz w:val="22"/>
                <w:szCs w:val="22"/>
              </w:rPr>
            </w:pPr>
          </w:p>
        </w:tc>
        <w:tc>
          <w:tcPr>
            <w:tcW w:w="6747" w:type="dxa"/>
          </w:tcPr>
          <w:p w14:paraId="2A8FCD2A" w14:textId="77777777" w:rsidR="00390C34" w:rsidRDefault="00390C34" w:rsidP="00390C34">
            <w:pPr>
              <w:ind w:right="-7"/>
              <w:rPr>
                <w:rFonts w:cs="Calibri"/>
                <w:b/>
                <w:bCs/>
                <w:sz w:val="22"/>
                <w:szCs w:val="22"/>
              </w:rPr>
            </w:pPr>
            <w:r w:rsidRPr="00390C34">
              <w:rPr>
                <w:rFonts w:cs="Calibri"/>
                <w:b/>
                <w:bCs/>
                <w:sz w:val="22"/>
                <w:szCs w:val="22"/>
              </w:rPr>
              <w:t>Design Guide Final version</w:t>
            </w:r>
          </w:p>
          <w:p w14:paraId="73562D39" w14:textId="378EF54E" w:rsidR="00390C34" w:rsidRDefault="00390C34" w:rsidP="00390C34">
            <w:pPr>
              <w:ind w:right="-7"/>
              <w:rPr>
                <w:rFonts w:cs="Calibri"/>
                <w:bCs/>
                <w:sz w:val="22"/>
                <w:szCs w:val="22"/>
              </w:rPr>
            </w:pPr>
            <w:r>
              <w:rPr>
                <w:rFonts w:cs="Calibri"/>
                <w:bCs/>
                <w:sz w:val="22"/>
                <w:szCs w:val="22"/>
              </w:rPr>
              <w:t>AECOM have supplied the final version of their design guide – circulated with these minutes. They can also help us with the following two tasks:</w:t>
            </w:r>
          </w:p>
          <w:p w14:paraId="02657633" w14:textId="77777777" w:rsidR="00390C34" w:rsidRPr="00390C34" w:rsidRDefault="00390C34" w:rsidP="00390C34">
            <w:pPr>
              <w:ind w:right="-7"/>
              <w:rPr>
                <w:rFonts w:cs="Calibri"/>
                <w:sz w:val="22"/>
                <w:szCs w:val="22"/>
              </w:rPr>
            </w:pPr>
          </w:p>
          <w:p w14:paraId="69BE9ACC" w14:textId="77777777" w:rsidR="00390C34" w:rsidRPr="00390C34" w:rsidRDefault="00390C34" w:rsidP="00390C34">
            <w:pPr>
              <w:ind w:right="-7"/>
              <w:rPr>
                <w:rFonts w:cs="Calibri"/>
                <w:sz w:val="22"/>
                <w:szCs w:val="22"/>
              </w:rPr>
            </w:pPr>
            <w:r w:rsidRPr="00390C34">
              <w:rPr>
                <w:rFonts w:cs="Calibri"/>
                <w:b/>
                <w:bCs/>
                <w:sz w:val="22"/>
                <w:szCs w:val="22"/>
              </w:rPr>
              <w:t>Site options and assessment</w:t>
            </w:r>
          </w:p>
          <w:p w14:paraId="50457C72" w14:textId="7B57F5DC" w:rsidR="00390C34" w:rsidRPr="00390C34" w:rsidRDefault="00390C34" w:rsidP="00390C34">
            <w:pPr>
              <w:ind w:right="-7"/>
              <w:rPr>
                <w:rFonts w:cs="Calibri"/>
                <w:sz w:val="22"/>
                <w:szCs w:val="22"/>
              </w:rPr>
            </w:pPr>
            <w:r w:rsidRPr="00390C34">
              <w:rPr>
                <w:rFonts w:cs="Calibri"/>
                <w:sz w:val="22"/>
                <w:szCs w:val="22"/>
              </w:rPr>
              <w:t xml:space="preserve">This is to help </w:t>
            </w:r>
            <w:r>
              <w:rPr>
                <w:rFonts w:cs="Calibri"/>
                <w:sz w:val="22"/>
                <w:szCs w:val="22"/>
              </w:rPr>
              <w:t>u</w:t>
            </w:r>
            <w:r w:rsidRPr="00390C34">
              <w:rPr>
                <w:rFonts w:cs="Calibri"/>
                <w:sz w:val="22"/>
                <w:szCs w:val="22"/>
              </w:rPr>
              <w:t xml:space="preserve">s identify and assess a site's suitability, </w:t>
            </w:r>
            <w:r>
              <w:rPr>
                <w:rFonts w:cs="Calibri"/>
                <w:sz w:val="22"/>
                <w:szCs w:val="22"/>
              </w:rPr>
              <w:t xml:space="preserve">so we </w:t>
            </w:r>
            <w:r w:rsidRPr="00390C34">
              <w:rPr>
                <w:rFonts w:cs="Calibri"/>
                <w:sz w:val="22"/>
                <w:szCs w:val="22"/>
              </w:rPr>
              <w:t xml:space="preserve">can then use this information to speak to the LPA and consult the community on the options. It won’t tell </w:t>
            </w:r>
            <w:r>
              <w:rPr>
                <w:rFonts w:cs="Calibri"/>
                <w:sz w:val="22"/>
                <w:szCs w:val="22"/>
              </w:rPr>
              <w:t>us</w:t>
            </w:r>
            <w:r w:rsidRPr="00390C34">
              <w:rPr>
                <w:rFonts w:cs="Calibri"/>
                <w:sz w:val="22"/>
                <w:szCs w:val="22"/>
              </w:rPr>
              <w:t xml:space="preserve"> which site </w:t>
            </w:r>
            <w:r w:rsidR="00606A95">
              <w:rPr>
                <w:rFonts w:cs="Calibri"/>
                <w:sz w:val="22"/>
                <w:szCs w:val="22"/>
              </w:rPr>
              <w:t xml:space="preserve">we </w:t>
            </w:r>
            <w:r w:rsidRPr="00390C34">
              <w:rPr>
                <w:rFonts w:cs="Calibri"/>
                <w:sz w:val="22"/>
                <w:szCs w:val="22"/>
              </w:rPr>
              <w:t>must cho</w:t>
            </w:r>
            <w:r w:rsidR="00606A95">
              <w:rPr>
                <w:rFonts w:cs="Calibri"/>
                <w:sz w:val="22"/>
                <w:szCs w:val="22"/>
              </w:rPr>
              <w:t>o</w:t>
            </w:r>
            <w:r w:rsidRPr="00390C34">
              <w:rPr>
                <w:rFonts w:cs="Calibri"/>
                <w:sz w:val="22"/>
                <w:szCs w:val="22"/>
              </w:rPr>
              <w:t>se.</w:t>
            </w:r>
          </w:p>
          <w:p w14:paraId="14C3F051" w14:textId="77777777" w:rsidR="00390C34" w:rsidRPr="00390C34" w:rsidRDefault="00390C34" w:rsidP="00390C34">
            <w:pPr>
              <w:ind w:right="-7"/>
              <w:rPr>
                <w:rFonts w:cs="Calibri"/>
                <w:sz w:val="22"/>
                <w:szCs w:val="22"/>
              </w:rPr>
            </w:pPr>
            <w:r w:rsidRPr="00390C34">
              <w:rPr>
                <w:rFonts w:cs="Calibri"/>
                <w:sz w:val="22"/>
                <w:szCs w:val="22"/>
              </w:rPr>
              <w:t> </w:t>
            </w:r>
          </w:p>
          <w:p w14:paraId="3BE7112B" w14:textId="77777777" w:rsidR="00390C34" w:rsidRPr="00390C34" w:rsidRDefault="00390C34" w:rsidP="00390C34">
            <w:pPr>
              <w:ind w:right="-7"/>
              <w:rPr>
                <w:rFonts w:cs="Calibri"/>
                <w:sz w:val="22"/>
                <w:szCs w:val="22"/>
              </w:rPr>
            </w:pPr>
            <w:r w:rsidRPr="00390C34">
              <w:rPr>
                <w:rFonts w:cs="Calibri"/>
                <w:b/>
                <w:bCs/>
                <w:sz w:val="22"/>
                <w:szCs w:val="22"/>
              </w:rPr>
              <w:t>Viability</w:t>
            </w:r>
          </w:p>
          <w:p w14:paraId="2A8A6BE0" w14:textId="25165188" w:rsidR="00390C34" w:rsidRDefault="00390C34" w:rsidP="00390C34">
            <w:pPr>
              <w:ind w:right="-7"/>
              <w:rPr>
                <w:rFonts w:cs="Calibri"/>
                <w:sz w:val="22"/>
                <w:szCs w:val="22"/>
              </w:rPr>
            </w:pPr>
            <w:r w:rsidRPr="00390C34">
              <w:rPr>
                <w:rFonts w:cs="Calibri"/>
                <w:sz w:val="22"/>
                <w:szCs w:val="22"/>
              </w:rPr>
              <w:t>This is a consideration for any group thinking about allocating sites in their plan. The output is a report summarising findings from residual valuation appraisals and looks at sites and developments in the plan to assess their viability.</w:t>
            </w:r>
            <w:r w:rsidR="00606A95">
              <w:rPr>
                <w:rFonts w:cs="Calibri"/>
                <w:sz w:val="22"/>
                <w:szCs w:val="22"/>
              </w:rPr>
              <w:t xml:space="preserve"> This would look e.g. at the garage site.</w:t>
            </w:r>
          </w:p>
          <w:p w14:paraId="64429716" w14:textId="77777777" w:rsidR="00606A95" w:rsidRDefault="00606A95" w:rsidP="00390C34">
            <w:pPr>
              <w:ind w:right="-7"/>
              <w:rPr>
                <w:rFonts w:cs="Calibri"/>
                <w:sz w:val="22"/>
                <w:szCs w:val="22"/>
              </w:rPr>
            </w:pPr>
          </w:p>
          <w:p w14:paraId="1EE8FBCE" w14:textId="6DF05BA1" w:rsidR="00A03C93" w:rsidRPr="00D70A3C" w:rsidRDefault="00606A95" w:rsidP="00606A95">
            <w:pPr>
              <w:ind w:right="-7"/>
              <w:rPr>
                <w:rFonts w:cs="Calibri"/>
                <w:sz w:val="22"/>
                <w:szCs w:val="22"/>
              </w:rPr>
            </w:pPr>
            <w:r>
              <w:rPr>
                <w:rFonts w:cs="Calibri"/>
                <w:sz w:val="22"/>
                <w:szCs w:val="22"/>
              </w:rPr>
              <w:t>We agreed Paul should contact AECOM to go ahead with both of these exercises.</w:t>
            </w:r>
          </w:p>
        </w:tc>
        <w:tc>
          <w:tcPr>
            <w:tcW w:w="1268" w:type="dxa"/>
          </w:tcPr>
          <w:p w14:paraId="0D92F780" w14:textId="77777777" w:rsidR="00A96482" w:rsidRDefault="00A96482" w:rsidP="00606A95">
            <w:pPr>
              <w:rPr>
                <w:rFonts w:cs="Arial"/>
                <w:bCs/>
                <w:sz w:val="22"/>
                <w:szCs w:val="22"/>
              </w:rPr>
            </w:pPr>
          </w:p>
          <w:p w14:paraId="5A2D9422" w14:textId="77777777" w:rsidR="00606A95" w:rsidRDefault="00606A95" w:rsidP="00606A95">
            <w:pPr>
              <w:rPr>
                <w:rFonts w:cs="Arial"/>
                <w:bCs/>
                <w:sz w:val="22"/>
                <w:szCs w:val="22"/>
              </w:rPr>
            </w:pPr>
          </w:p>
          <w:p w14:paraId="2198C3C1" w14:textId="77777777" w:rsidR="00606A95" w:rsidRDefault="00606A95" w:rsidP="00606A95">
            <w:pPr>
              <w:rPr>
                <w:rFonts w:cs="Arial"/>
                <w:bCs/>
                <w:sz w:val="22"/>
                <w:szCs w:val="22"/>
              </w:rPr>
            </w:pPr>
          </w:p>
          <w:p w14:paraId="7C9A9010" w14:textId="77777777" w:rsidR="00606A95" w:rsidRDefault="00606A95" w:rsidP="00606A95">
            <w:pPr>
              <w:rPr>
                <w:rFonts w:cs="Arial"/>
                <w:bCs/>
                <w:sz w:val="22"/>
                <w:szCs w:val="22"/>
              </w:rPr>
            </w:pPr>
          </w:p>
          <w:p w14:paraId="5095A48E" w14:textId="77777777" w:rsidR="00606A95" w:rsidRDefault="00606A95" w:rsidP="00606A95">
            <w:pPr>
              <w:rPr>
                <w:rFonts w:cs="Arial"/>
                <w:bCs/>
                <w:sz w:val="22"/>
                <w:szCs w:val="22"/>
              </w:rPr>
            </w:pPr>
          </w:p>
          <w:p w14:paraId="17D6C769" w14:textId="77777777" w:rsidR="00606A95" w:rsidRDefault="00606A95" w:rsidP="00606A95">
            <w:pPr>
              <w:rPr>
                <w:rFonts w:cs="Arial"/>
                <w:bCs/>
                <w:sz w:val="22"/>
                <w:szCs w:val="22"/>
              </w:rPr>
            </w:pPr>
          </w:p>
          <w:p w14:paraId="25ACC93C" w14:textId="77777777" w:rsidR="00606A95" w:rsidRDefault="00606A95" w:rsidP="00606A95">
            <w:pPr>
              <w:rPr>
                <w:rFonts w:cs="Arial"/>
                <w:bCs/>
                <w:sz w:val="22"/>
                <w:szCs w:val="22"/>
              </w:rPr>
            </w:pPr>
          </w:p>
          <w:p w14:paraId="70B0BE36" w14:textId="77777777" w:rsidR="00606A95" w:rsidRDefault="00606A95" w:rsidP="00606A95">
            <w:pPr>
              <w:rPr>
                <w:rFonts w:cs="Arial"/>
                <w:bCs/>
                <w:sz w:val="22"/>
                <w:szCs w:val="22"/>
              </w:rPr>
            </w:pPr>
          </w:p>
          <w:p w14:paraId="477E1F65" w14:textId="77777777" w:rsidR="00606A95" w:rsidRDefault="00606A95" w:rsidP="00606A95">
            <w:pPr>
              <w:rPr>
                <w:rFonts w:cs="Arial"/>
                <w:bCs/>
                <w:sz w:val="22"/>
                <w:szCs w:val="22"/>
              </w:rPr>
            </w:pPr>
          </w:p>
          <w:p w14:paraId="4C87303F" w14:textId="77777777" w:rsidR="00606A95" w:rsidRDefault="00606A95" w:rsidP="00606A95">
            <w:pPr>
              <w:rPr>
                <w:rFonts w:cs="Arial"/>
                <w:bCs/>
                <w:sz w:val="22"/>
                <w:szCs w:val="22"/>
              </w:rPr>
            </w:pPr>
          </w:p>
          <w:p w14:paraId="7952B075" w14:textId="77777777" w:rsidR="00606A95" w:rsidRDefault="00606A95" w:rsidP="00606A95">
            <w:pPr>
              <w:rPr>
                <w:rFonts w:cs="Arial"/>
                <w:bCs/>
                <w:sz w:val="22"/>
                <w:szCs w:val="22"/>
              </w:rPr>
            </w:pPr>
          </w:p>
          <w:p w14:paraId="744874F5" w14:textId="77777777" w:rsidR="00606A95" w:rsidRDefault="00606A95" w:rsidP="00606A95">
            <w:pPr>
              <w:rPr>
                <w:rFonts w:cs="Arial"/>
                <w:bCs/>
                <w:sz w:val="22"/>
                <w:szCs w:val="22"/>
              </w:rPr>
            </w:pPr>
          </w:p>
          <w:p w14:paraId="1ABBCFF8" w14:textId="77777777" w:rsidR="00606A95" w:rsidRDefault="00606A95" w:rsidP="00606A95">
            <w:pPr>
              <w:rPr>
                <w:rFonts w:cs="Arial"/>
                <w:bCs/>
                <w:sz w:val="22"/>
                <w:szCs w:val="22"/>
              </w:rPr>
            </w:pPr>
          </w:p>
          <w:p w14:paraId="32262567" w14:textId="77777777" w:rsidR="00606A95" w:rsidRDefault="00606A95" w:rsidP="00606A95">
            <w:pPr>
              <w:rPr>
                <w:rFonts w:cs="Arial"/>
                <w:bCs/>
                <w:sz w:val="22"/>
                <w:szCs w:val="22"/>
              </w:rPr>
            </w:pPr>
          </w:p>
          <w:p w14:paraId="7C759EC1" w14:textId="77777777" w:rsidR="00606A95" w:rsidRDefault="00606A95" w:rsidP="00606A95">
            <w:pPr>
              <w:rPr>
                <w:rFonts w:cs="Arial"/>
                <w:bCs/>
                <w:sz w:val="22"/>
                <w:szCs w:val="22"/>
              </w:rPr>
            </w:pPr>
          </w:p>
          <w:p w14:paraId="4758571C" w14:textId="77777777" w:rsidR="00606A95" w:rsidRDefault="00606A95" w:rsidP="00606A95">
            <w:pPr>
              <w:rPr>
                <w:rFonts w:cs="Arial"/>
                <w:bCs/>
                <w:sz w:val="22"/>
                <w:szCs w:val="22"/>
              </w:rPr>
            </w:pPr>
          </w:p>
          <w:p w14:paraId="2312B6E6" w14:textId="77777777" w:rsidR="00606A95" w:rsidRDefault="00606A95" w:rsidP="00606A95">
            <w:pPr>
              <w:rPr>
                <w:rFonts w:cs="Arial"/>
                <w:bCs/>
                <w:sz w:val="22"/>
                <w:szCs w:val="22"/>
              </w:rPr>
            </w:pPr>
          </w:p>
          <w:p w14:paraId="1FFF5459" w14:textId="77777777" w:rsidR="00606A95" w:rsidRDefault="00606A95" w:rsidP="00606A95">
            <w:pPr>
              <w:rPr>
                <w:rFonts w:cs="Arial"/>
                <w:bCs/>
                <w:sz w:val="22"/>
                <w:szCs w:val="22"/>
              </w:rPr>
            </w:pPr>
          </w:p>
          <w:p w14:paraId="2E51A77B" w14:textId="2153960D" w:rsidR="00606A95" w:rsidRPr="00606A95" w:rsidRDefault="00606A95" w:rsidP="00606A95">
            <w:pPr>
              <w:rPr>
                <w:rFonts w:cs="Arial"/>
                <w:sz w:val="22"/>
                <w:szCs w:val="22"/>
              </w:rPr>
            </w:pPr>
            <w:r>
              <w:rPr>
                <w:rFonts w:cs="Arial"/>
                <w:bCs/>
                <w:sz w:val="22"/>
                <w:szCs w:val="22"/>
              </w:rPr>
              <w:t>Paul</w:t>
            </w:r>
          </w:p>
        </w:tc>
      </w:tr>
      <w:tr w:rsidR="00390C34" w:rsidRPr="002F08DC" w14:paraId="6F1FC860" w14:textId="77777777" w:rsidTr="00D036FA">
        <w:trPr>
          <w:cantSplit/>
        </w:trPr>
        <w:tc>
          <w:tcPr>
            <w:tcW w:w="863" w:type="dxa"/>
          </w:tcPr>
          <w:p w14:paraId="3D735FCD" w14:textId="69AB082C" w:rsidR="00390C34" w:rsidRPr="00A75216" w:rsidRDefault="00390C34" w:rsidP="00606A95">
            <w:pPr>
              <w:numPr>
                <w:ilvl w:val="1"/>
                <w:numId w:val="1"/>
              </w:numPr>
              <w:rPr>
                <w:rFonts w:cs="Arial"/>
                <w:b/>
                <w:bCs/>
                <w:sz w:val="22"/>
                <w:szCs w:val="22"/>
              </w:rPr>
            </w:pPr>
          </w:p>
        </w:tc>
        <w:tc>
          <w:tcPr>
            <w:tcW w:w="6747" w:type="dxa"/>
          </w:tcPr>
          <w:p w14:paraId="0E2F1B02" w14:textId="3036763C" w:rsidR="00390C34" w:rsidRPr="00D70A3C" w:rsidRDefault="00606A95" w:rsidP="00D70A3C">
            <w:pPr>
              <w:ind w:right="-7"/>
              <w:rPr>
                <w:rFonts w:cs="Calibri"/>
                <w:sz w:val="22"/>
                <w:szCs w:val="22"/>
              </w:rPr>
            </w:pPr>
            <w:r>
              <w:rPr>
                <w:rFonts w:cs="Calibri"/>
                <w:sz w:val="22"/>
                <w:szCs w:val="22"/>
              </w:rPr>
              <w:t>Elspeth asked if there is any such support for green spaces etc. Paul will check.</w:t>
            </w:r>
          </w:p>
        </w:tc>
        <w:tc>
          <w:tcPr>
            <w:tcW w:w="1268" w:type="dxa"/>
          </w:tcPr>
          <w:p w14:paraId="402BE5E8" w14:textId="34629E56" w:rsidR="00390C34" w:rsidRPr="002F08DC" w:rsidRDefault="00606A95" w:rsidP="002F08DC">
            <w:pPr>
              <w:rPr>
                <w:rFonts w:cs="Arial"/>
                <w:bCs/>
                <w:sz w:val="22"/>
                <w:szCs w:val="22"/>
              </w:rPr>
            </w:pPr>
            <w:r>
              <w:rPr>
                <w:rFonts w:cs="Arial"/>
                <w:bCs/>
                <w:sz w:val="22"/>
                <w:szCs w:val="22"/>
              </w:rPr>
              <w:t>Paul</w:t>
            </w:r>
          </w:p>
        </w:tc>
      </w:tr>
      <w:tr w:rsidR="00390C34" w:rsidRPr="002F08DC" w14:paraId="53ADB0DD" w14:textId="77777777" w:rsidTr="00D036FA">
        <w:trPr>
          <w:cantSplit/>
        </w:trPr>
        <w:tc>
          <w:tcPr>
            <w:tcW w:w="863" w:type="dxa"/>
          </w:tcPr>
          <w:p w14:paraId="171BB04F" w14:textId="77777777" w:rsidR="00390C34" w:rsidRPr="00A75216" w:rsidRDefault="00390C34" w:rsidP="00A75216">
            <w:pPr>
              <w:ind w:left="360"/>
              <w:rPr>
                <w:rFonts w:cs="Arial"/>
                <w:b/>
                <w:bCs/>
                <w:sz w:val="22"/>
                <w:szCs w:val="22"/>
              </w:rPr>
            </w:pPr>
          </w:p>
        </w:tc>
        <w:tc>
          <w:tcPr>
            <w:tcW w:w="6747" w:type="dxa"/>
          </w:tcPr>
          <w:p w14:paraId="1C477E86" w14:textId="77777777" w:rsidR="00390C34" w:rsidRPr="00D70A3C" w:rsidRDefault="00390C34" w:rsidP="00D70A3C">
            <w:pPr>
              <w:ind w:right="-7"/>
              <w:rPr>
                <w:rFonts w:cs="Calibri"/>
                <w:sz w:val="22"/>
                <w:szCs w:val="22"/>
              </w:rPr>
            </w:pPr>
          </w:p>
        </w:tc>
        <w:tc>
          <w:tcPr>
            <w:tcW w:w="1268" w:type="dxa"/>
          </w:tcPr>
          <w:p w14:paraId="7DCD9A84" w14:textId="77777777" w:rsidR="00390C34" w:rsidRPr="002F08DC" w:rsidRDefault="00390C34" w:rsidP="002F08DC">
            <w:pPr>
              <w:rPr>
                <w:rFonts w:cs="Arial"/>
                <w:bCs/>
                <w:sz w:val="22"/>
                <w:szCs w:val="22"/>
              </w:rPr>
            </w:pPr>
          </w:p>
        </w:tc>
      </w:tr>
      <w:tr w:rsidR="00587872" w:rsidRPr="002F08DC" w14:paraId="36313ED2" w14:textId="77777777" w:rsidTr="00D036FA">
        <w:trPr>
          <w:cantSplit/>
        </w:trPr>
        <w:tc>
          <w:tcPr>
            <w:tcW w:w="863" w:type="dxa"/>
          </w:tcPr>
          <w:p w14:paraId="53F092A2" w14:textId="77777777" w:rsidR="00587872" w:rsidRPr="002F08DC" w:rsidRDefault="00587872" w:rsidP="00390C34">
            <w:pPr>
              <w:numPr>
                <w:ilvl w:val="0"/>
                <w:numId w:val="1"/>
              </w:numPr>
              <w:rPr>
                <w:rFonts w:cs="Arial"/>
                <w:bCs/>
                <w:sz w:val="22"/>
                <w:szCs w:val="22"/>
              </w:rPr>
            </w:pPr>
          </w:p>
        </w:tc>
        <w:tc>
          <w:tcPr>
            <w:tcW w:w="6747" w:type="dxa"/>
          </w:tcPr>
          <w:p w14:paraId="4F3632EF" w14:textId="77777777" w:rsidR="00587872" w:rsidRPr="00587872" w:rsidRDefault="00A03C93" w:rsidP="00587872">
            <w:pPr>
              <w:rPr>
                <w:rFonts w:cs="Calibri"/>
                <w:b/>
                <w:sz w:val="22"/>
                <w:szCs w:val="22"/>
              </w:rPr>
            </w:pPr>
            <w:r>
              <w:rPr>
                <w:rFonts w:cs="Calibri"/>
                <w:b/>
                <w:sz w:val="22"/>
                <w:szCs w:val="22"/>
              </w:rPr>
              <w:t>Dates of next meetings</w:t>
            </w:r>
            <w:r w:rsidR="00D70A3C">
              <w:rPr>
                <w:rFonts w:cs="Calibri"/>
                <w:b/>
                <w:sz w:val="22"/>
                <w:szCs w:val="22"/>
              </w:rPr>
              <w:t xml:space="preserve"> – all at Long Barn 7.30pm</w:t>
            </w:r>
          </w:p>
        </w:tc>
        <w:tc>
          <w:tcPr>
            <w:tcW w:w="1268" w:type="dxa"/>
          </w:tcPr>
          <w:p w14:paraId="6D4CCBBF" w14:textId="77777777" w:rsidR="00587872" w:rsidRDefault="00587872" w:rsidP="002F08DC">
            <w:pPr>
              <w:rPr>
                <w:rFonts w:cs="Arial"/>
                <w:bCs/>
                <w:sz w:val="22"/>
                <w:szCs w:val="22"/>
              </w:rPr>
            </w:pPr>
          </w:p>
        </w:tc>
      </w:tr>
      <w:tr w:rsidR="00587872" w:rsidRPr="002F08DC" w14:paraId="0AF8E4BA" w14:textId="77777777" w:rsidTr="00D036FA">
        <w:trPr>
          <w:cantSplit/>
        </w:trPr>
        <w:tc>
          <w:tcPr>
            <w:tcW w:w="863" w:type="dxa"/>
          </w:tcPr>
          <w:p w14:paraId="1A43CF70" w14:textId="77777777" w:rsidR="00587872" w:rsidRPr="002F08DC" w:rsidRDefault="00587872" w:rsidP="002F08DC">
            <w:pPr>
              <w:ind w:left="170"/>
              <w:rPr>
                <w:rFonts w:cs="Arial"/>
                <w:bCs/>
                <w:sz w:val="22"/>
                <w:szCs w:val="22"/>
              </w:rPr>
            </w:pPr>
          </w:p>
        </w:tc>
        <w:tc>
          <w:tcPr>
            <w:tcW w:w="6747" w:type="dxa"/>
          </w:tcPr>
          <w:p w14:paraId="3679CAAA" w14:textId="22F36F17" w:rsidR="00587872" w:rsidRDefault="00823A03" w:rsidP="00823A03">
            <w:pPr>
              <w:rPr>
                <w:rFonts w:cs="Calibri"/>
                <w:sz w:val="22"/>
                <w:szCs w:val="22"/>
              </w:rPr>
            </w:pPr>
            <w:r>
              <w:rPr>
                <w:rFonts w:cs="Calibri"/>
                <w:sz w:val="22"/>
                <w:szCs w:val="22"/>
              </w:rPr>
              <w:t>Monday 10</w:t>
            </w:r>
            <w:r>
              <w:rPr>
                <w:rFonts w:cs="Calibri"/>
                <w:sz w:val="22"/>
                <w:szCs w:val="22"/>
                <w:vertAlign w:val="superscript"/>
              </w:rPr>
              <w:t>th</w:t>
            </w:r>
            <w:r>
              <w:rPr>
                <w:rFonts w:cs="Calibri"/>
                <w:sz w:val="22"/>
                <w:szCs w:val="22"/>
              </w:rPr>
              <w:t xml:space="preserve"> December</w:t>
            </w:r>
          </w:p>
        </w:tc>
        <w:tc>
          <w:tcPr>
            <w:tcW w:w="1268" w:type="dxa"/>
          </w:tcPr>
          <w:p w14:paraId="7960A077" w14:textId="77777777" w:rsidR="00587872" w:rsidRDefault="00587872" w:rsidP="002F08DC">
            <w:pPr>
              <w:rPr>
                <w:rFonts w:cs="Arial"/>
                <w:bCs/>
                <w:sz w:val="22"/>
                <w:szCs w:val="22"/>
              </w:rPr>
            </w:pPr>
          </w:p>
        </w:tc>
      </w:tr>
      <w:tr w:rsidR="00A03C93" w:rsidRPr="002F08DC" w14:paraId="4798BC1C" w14:textId="77777777" w:rsidTr="00D036FA">
        <w:trPr>
          <w:cantSplit/>
        </w:trPr>
        <w:tc>
          <w:tcPr>
            <w:tcW w:w="863" w:type="dxa"/>
          </w:tcPr>
          <w:p w14:paraId="096B71D7" w14:textId="77777777" w:rsidR="00A03C93" w:rsidRPr="002F08DC" w:rsidRDefault="00A03C93" w:rsidP="002F08DC">
            <w:pPr>
              <w:ind w:left="170"/>
              <w:rPr>
                <w:rFonts w:cs="Arial"/>
                <w:bCs/>
                <w:sz w:val="22"/>
                <w:szCs w:val="22"/>
              </w:rPr>
            </w:pPr>
          </w:p>
        </w:tc>
        <w:tc>
          <w:tcPr>
            <w:tcW w:w="6747" w:type="dxa"/>
          </w:tcPr>
          <w:p w14:paraId="79FAF668" w14:textId="0395E747" w:rsidR="00A03C93" w:rsidRDefault="00823A03" w:rsidP="00587872">
            <w:pPr>
              <w:rPr>
                <w:rFonts w:cs="Calibri"/>
                <w:sz w:val="22"/>
                <w:szCs w:val="22"/>
              </w:rPr>
            </w:pPr>
            <w:r>
              <w:rPr>
                <w:rFonts w:cs="Calibri"/>
                <w:sz w:val="22"/>
                <w:szCs w:val="22"/>
              </w:rPr>
              <w:t>Monday 14</w:t>
            </w:r>
            <w:r w:rsidRPr="00823A03">
              <w:rPr>
                <w:rFonts w:cs="Calibri"/>
                <w:sz w:val="22"/>
                <w:szCs w:val="22"/>
                <w:vertAlign w:val="superscript"/>
              </w:rPr>
              <w:t>th</w:t>
            </w:r>
            <w:r>
              <w:rPr>
                <w:rFonts w:cs="Calibri"/>
                <w:sz w:val="22"/>
                <w:szCs w:val="22"/>
              </w:rPr>
              <w:t xml:space="preserve"> January</w:t>
            </w:r>
          </w:p>
        </w:tc>
        <w:tc>
          <w:tcPr>
            <w:tcW w:w="1268" w:type="dxa"/>
          </w:tcPr>
          <w:p w14:paraId="2BCBE18E" w14:textId="77777777" w:rsidR="00A03C93" w:rsidRDefault="00A03C93" w:rsidP="002F08DC">
            <w:pPr>
              <w:rPr>
                <w:rFonts w:cs="Arial"/>
                <w:bCs/>
                <w:sz w:val="22"/>
                <w:szCs w:val="22"/>
              </w:rPr>
            </w:pPr>
          </w:p>
        </w:tc>
      </w:tr>
    </w:tbl>
    <w:p w14:paraId="49754880" w14:textId="77777777" w:rsidR="000D376B" w:rsidRPr="00975D43" w:rsidRDefault="000D376B">
      <w:pPr>
        <w:rPr>
          <w:sz w:val="22"/>
          <w:szCs w:val="22"/>
        </w:rPr>
      </w:pPr>
    </w:p>
    <w:sectPr w:rsidR="000D376B" w:rsidRPr="00975D43" w:rsidSect="00182307">
      <w:pgSz w:w="11906" w:h="16838"/>
      <w:pgMar w:top="1985" w:right="162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327"/>
    <w:multiLevelType w:val="hybridMultilevel"/>
    <w:tmpl w:val="40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347"/>
    <w:multiLevelType w:val="hybridMultilevel"/>
    <w:tmpl w:val="906E5B6A"/>
    <w:lvl w:ilvl="0" w:tplc="8348EB0A">
      <w:start w:val="1"/>
      <w:numFmt w:val="bullet"/>
      <w:lvlText w:val="•"/>
      <w:lvlJc w:val="left"/>
      <w:pPr>
        <w:tabs>
          <w:tab w:val="num" w:pos="1080"/>
        </w:tabs>
        <w:ind w:left="1080" w:hanging="360"/>
      </w:pPr>
      <w:rPr>
        <w:rFonts w:ascii="Arial" w:hAnsi="Arial" w:hint="default"/>
      </w:rPr>
    </w:lvl>
    <w:lvl w:ilvl="1" w:tplc="76787686" w:tentative="1">
      <w:start w:val="1"/>
      <w:numFmt w:val="bullet"/>
      <w:lvlText w:val="•"/>
      <w:lvlJc w:val="left"/>
      <w:pPr>
        <w:tabs>
          <w:tab w:val="num" w:pos="1800"/>
        </w:tabs>
        <w:ind w:left="1800" w:hanging="360"/>
      </w:pPr>
      <w:rPr>
        <w:rFonts w:ascii="Arial" w:hAnsi="Arial" w:hint="default"/>
      </w:rPr>
    </w:lvl>
    <w:lvl w:ilvl="2" w:tplc="86AAA6C6" w:tentative="1">
      <w:start w:val="1"/>
      <w:numFmt w:val="bullet"/>
      <w:lvlText w:val="•"/>
      <w:lvlJc w:val="left"/>
      <w:pPr>
        <w:tabs>
          <w:tab w:val="num" w:pos="2520"/>
        </w:tabs>
        <w:ind w:left="2520" w:hanging="360"/>
      </w:pPr>
      <w:rPr>
        <w:rFonts w:ascii="Arial" w:hAnsi="Arial" w:hint="default"/>
      </w:rPr>
    </w:lvl>
    <w:lvl w:ilvl="3" w:tplc="94AADE16" w:tentative="1">
      <w:start w:val="1"/>
      <w:numFmt w:val="bullet"/>
      <w:lvlText w:val="•"/>
      <w:lvlJc w:val="left"/>
      <w:pPr>
        <w:tabs>
          <w:tab w:val="num" w:pos="3240"/>
        </w:tabs>
        <w:ind w:left="3240" w:hanging="360"/>
      </w:pPr>
      <w:rPr>
        <w:rFonts w:ascii="Arial" w:hAnsi="Arial" w:hint="default"/>
      </w:rPr>
    </w:lvl>
    <w:lvl w:ilvl="4" w:tplc="78D627D0" w:tentative="1">
      <w:start w:val="1"/>
      <w:numFmt w:val="bullet"/>
      <w:lvlText w:val="•"/>
      <w:lvlJc w:val="left"/>
      <w:pPr>
        <w:tabs>
          <w:tab w:val="num" w:pos="3960"/>
        </w:tabs>
        <w:ind w:left="3960" w:hanging="360"/>
      </w:pPr>
      <w:rPr>
        <w:rFonts w:ascii="Arial" w:hAnsi="Arial" w:hint="default"/>
      </w:rPr>
    </w:lvl>
    <w:lvl w:ilvl="5" w:tplc="D624ACE0" w:tentative="1">
      <w:start w:val="1"/>
      <w:numFmt w:val="bullet"/>
      <w:lvlText w:val="•"/>
      <w:lvlJc w:val="left"/>
      <w:pPr>
        <w:tabs>
          <w:tab w:val="num" w:pos="4680"/>
        </w:tabs>
        <w:ind w:left="4680" w:hanging="360"/>
      </w:pPr>
      <w:rPr>
        <w:rFonts w:ascii="Arial" w:hAnsi="Arial" w:hint="default"/>
      </w:rPr>
    </w:lvl>
    <w:lvl w:ilvl="6" w:tplc="AC804CFA" w:tentative="1">
      <w:start w:val="1"/>
      <w:numFmt w:val="bullet"/>
      <w:lvlText w:val="•"/>
      <w:lvlJc w:val="left"/>
      <w:pPr>
        <w:tabs>
          <w:tab w:val="num" w:pos="5400"/>
        </w:tabs>
        <w:ind w:left="5400" w:hanging="360"/>
      </w:pPr>
      <w:rPr>
        <w:rFonts w:ascii="Arial" w:hAnsi="Arial" w:hint="default"/>
      </w:rPr>
    </w:lvl>
    <w:lvl w:ilvl="7" w:tplc="8BA6E090" w:tentative="1">
      <w:start w:val="1"/>
      <w:numFmt w:val="bullet"/>
      <w:lvlText w:val="•"/>
      <w:lvlJc w:val="left"/>
      <w:pPr>
        <w:tabs>
          <w:tab w:val="num" w:pos="6120"/>
        </w:tabs>
        <w:ind w:left="6120" w:hanging="360"/>
      </w:pPr>
      <w:rPr>
        <w:rFonts w:ascii="Arial" w:hAnsi="Arial" w:hint="default"/>
      </w:rPr>
    </w:lvl>
    <w:lvl w:ilvl="8" w:tplc="862CD0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6952A3E"/>
    <w:multiLevelType w:val="hybridMultilevel"/>
    <w:tmpl w:val="8A0C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6ECC"/>
    <w:multiLevelType w:val="hybridMultilevel"/>
    <w:tmpl w:val="C49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0FFD"/>
    <w:multiLevelType w:val="hybridMultilevel"/>
    <w:tmpl w:val="D37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4B31"/>
    <w:multiLevelType w:val="hybridMultilevel"/>
    <w:tmpl w:val="D7DCC7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6" w15:restartNumberingAfterBreak="0">
    <w:nsid w:val="2CBD0327"/>
    <w:multiLevelType w:val="hybridMultilevel"/>
    <w:tmpl w:val="2B9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A631B"/>
    <w:multiLevelType w:val="multilevel"/>
    <w:tmpl w:val="BFE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C6054"/>
    <w:multiLevelType w:val="hybridMultilevel"/>
    <w:tmpl w:val="9BC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07C1D"/>
    <w:multiLevelType w:val="hybridMultilevel"/>
    <w:tmpl w:val="C14401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D1B6D45"/>
    <w:multiLevelType w:val="hybridMultilevel"/>
    <w:tmpl w:val="5B3A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C346B"/>
    <w:multiLevelType w:val="hybridMultilevel"/>
    <w:tmpl w:val="3AA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13" w15:restartNumberingAfterBreak="0">
    <w:nsid w:val="4E015059"/>
    <w:multiLevelType w:val="hybridMultilevel"/>
    <w:tmpl w:val="7CFC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9C64C5"/>
    <w:multiLevelType w:val="hybridMultilevel"/>
    <w:tmpl w:val="105CF37C"/>
    <w:lvl w:ilvl="0" w:tplc="0809000F">
      <w:start w:val="1"/>
      <w:numFmt w:val="decimal"/>
      <w:lvlText w:val="%1."/>
      <w:lvlJc w:val="left"/>
      <w:pPr>
        <w:ind w:left="1434" w:hanging="360"/>
      </w:pPr>
      <w:rPr>
        <w:rFonts w:hint="default"/>
      </w:r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 w15:restartNumberingAfterBreak="0">
    <w:nsid w:val="4FD57741"/>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531D4AF2"/>
    <w:multiLevelType w:val="hybridMultilevel"/>
    <w:tmpl w:val="F60244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185DEA"/>
    <w:multiLevelType w:val="hybridMultilevel"/>
    <w:tmpl w:val="94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40589"/>
    <w:multiLevelType w:val="hybridMultilevel"/>
    <w:tmpl w:val="F3D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447F1"/>
    <w:multiLevelType w:val="hybridMultilevel"/>
    <w:tmpl w:val="27F4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60898"/>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7"/>
  </w:num>
  <w:num w:numId="3">
    <w:abstractNumId w:val="5"/>
  </w:num>
  <w:num w:numId="4">
    <w:abstractNumId w:val="0"/>
  </w:num>
  <w:num w:numId="5">
    <w:abstractNumId w:val="8"/>
  </w:num>
  <w:num w:numId="6">
    <w:abstractNumId w:val="11"/>
  </w:num>
  <w:num w:numId="7">
    <w:abstractNumId w:val="12"/>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3"/>
  </w:num>
  <w:num w:numId="13">
    <w:abstractNumId w:val="2"/>
  </w:num>
  <w:num w:numId="14">
    <w:abstractNumId w:val="19"/>
  </w:num>
  <w:num w:numId="15">
    <w:abstractNumId w:val="18"/>
  </w:num>
  <w:num w:numId="16">
    <w:abstractNumId w:val="6"/>
  </w:num>
  <w:num w:numId="17">
    <w:abstractNumId w:val="1"/>
  </w:num>
  <w:num w:numId="18">
    <w:abstractNumId w:val="13"/>
  </w:num>
  <w:num w:numId="19">
    <w:abstractNumId w:val="4"/>
  </w:num>
  <w:num w:numId="20">
    <w:abstractNumId w:val="17"/>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74A5E"/>
    <w:rsid w:val="00077539"/>
    <w:rsid w:val="00084B7A"/>
    <w:rsid w:val="000D1BE9"/>
    <w:rsid w:val="000D376B"/>
    <w:rsid w:val="00101A9A"/>
    <w:rsid w:val="00143265"/>
    <w:rsid w:val="00174484"/>
    <w:rsid w:val="00177F74"/>
    <w:rsid w:val="00182307"/>
    <w:rsid w:val="00184592"/>
    <w:rsid w:val="001B38FF"/>
    <w:rsid w:val="001C434A"/>
    <w:rsid w:val="001D127A"/>
    <w:rsid w:val="002512B1"/>
    <w:rsid w:val="002A1B1A"/>
    <w:rsid w:val="002F08DC"/>
    <w:rsid w:val="002F2165"/>
    <w:rsid w:val="00322AF3"/>
    <w:rsid w:val="003567ED"/>
    <w:rsid w:val="00390C34"/>
    <w:rsid w:val="0046007D"/>
    <w:rsid w:val="004637E5"/>
    <w:rsid w:val="004F6DD8"/>
    <w:rsid w:val="00523799"/>
    <w:rsid w:val="00552816"/>
    <w:rsid w:val="00556B76"/>
    <w:rsid w:val="00587872"/>
    <w:rsid w:val="005A50ED"/>
    <w:rsid w:val="005B011F"/>
    <w:rsid w:val="005B62C9"/>
    <w:rsid w:val="005F38F6"/>
    <w:rsid w:val="00606A95"/>
    <w:rsid w:val="00610E05"/>
    <w:rsid w:val="006A480A"/>
    <w:rsid w:val="006B6A37"/>
    <w:rsid w:val="006D6B37"/>
    <w:rsid w:val="0079559F"/>
    <w:rsid w:val="007C1ADC"/>
    <w:rsid w:val="007D2A52"/>
    <w:rsid w:val="007D4AD4"/>
    <w:rsid w:val="00823A03"/>
    <w:rsid w:val="00881591"/>
    <w:rsid w:val="008D309C"/>
    <w:rsid w:val="008D58B6"/>
    <w:rsid w:val="00975D43"/>
    <w:rsid w:val="009A1A4C"/>
    <w:rsid w:val="00A03C93"/>
    <w:rsid w:val="00A3614D"/>
    <w:rsid w:val="00A75216"/>
    <w:rsid w:val="00A96482"/>
    <w:rsid w:val="00AE3020"/>
    <w:rsid w:val="00B2515A"/>
    <w:rsid w:val="00B6091A"/>
    <w:rsid w:val="00B6746B"/>
    <w:rsid w:val="00B75C83"/>
    <w:rsid w:val="00B82272"/>
    <w:rsid w:val="00B82D0F"/>
    <w:rsid w:val="00B87AC6"/>
    <w:rsid w:val="00BB7EB2"/>
    <w:rsid w:val="00BD34C3"/>
    <w:rsid w:val="00C025B9"/>
    <w:rsid w:val="00C447DD"/>
    <w:rsid w:val="00C721C8"/>
    <w:rsid w:val="00C76236"/>
    <w:rsid w:val="00C86A60"/>
    <w:rsid w:val="00CA4A25"/>
    <w:rsid w:val="00CD2E3C"/>
    <w:rsid w:val="00CD53AB"/>
    <w:rsid w:val="00D036FA"/>
    <w:rsid w:val="00D65CE2"/>
    <w:rsid w:val="00D70A3C"/>
    <w:rsid w:val="00D73D00"/>
    <w:rsid w:val="00D96DD6"/>
    <w:rsid w:val="00DB748A"/>
    <w:rsid w:val="00DE0355"/>
    <w:rsid w:val="00E0739B"/>
    <w:rsid w:val="00EA1CC6"/>
    <w:rsid w:val="00EA28A8"/>
    <w:rsid w:val="00EB1102"/>
    <w:rsid w:val="00EB49CB"/>
    <w:rsid w:val="00F241BC"/>
    <w:rsid w:val="00F25E72"/>
    <w:rsid w:val="00F50C55"/>
    <w:rsid w:val="00F752AF"/>
    <w:rsid w:val="00FB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3EDD"/>
  <w15:docId w15:val="{8C6FECDB-6F25-4098-8B31-3DB3BA7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1F"/>
    <w:rPr>
      <w:rFonts w:ascii="Arial" w:eastAsia="Times New Roman" w:hAnsi="Arial" w:cs="Times New Roman"/>
      <w:lang w:val="en-GB"/>
    </w:rPr>
  </w:style>
  <w:style w:type="paragraph" w:styleId="Heading1">
    <w:name w:val="heading 1"/>
    <w:basedOn w:val="Normal"/>
    <w:next w:val="Normal"/>
    <w:link w:val="Heading1Char"/>
    <w:uiPriority w:val="99"/>
    <w:qFormat/>
    <w:rsid w:val="005B011F"/>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011F"/>
    <w:rPr>
      <w:rFonts w:ascii="Arial" w:eastAsia="Times New Roman" w:hAnsi="Arial" w:cs="Times New Roman"/>
      <w:b/>
      <w:bCs/>
      <w:lang w:val="en-GB"/>
    </w:rPr>
  </w:style>
  <w:style w:type="character" w:styleId="Hyperlink">
    <w:name w:val="Hyperlink"/>
    <w:basedOn w:val="DefaultParagraphFont"/>
    <w:uiPriority w:val="99"/>
    <w:rsid w:val="005B011F"/>
    <w:rPr>
      <w:color w:val="0000FF"/>
      <w:u w:val="single"/>
    </w:rPr>
  </w:style>
  <w:style w:type="paragraph" w:styleId="ListParagraph">
    <w:name w:val="List Paragraph"/>
    <w:basedOn w:val="Normal"/>
    <w:uiPriority w:val="34"/>
    <w:qFormat/>
    <w:rsid w:val="005B011F"/>
    <w:pPr>
      <w:ind w:left="720"/>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46007D"/>
    <w:rPr>
      <w:rFonts w:ascii="Times New Roman" w:eastAsiaTheme="minorHAnsi" w:hAnsi="Times New Roman"/>
      <w:lang w:eastAsia="en-GB"/>
    </w:rPr>
  </w:style>
  <w:style w:type="character" w:customStyle="1" w:styleId="apple-converted-space">
    <w:name w:val="apple-converted-space"/>
    <w:basedOn w:val="DefaultParagraphFont"/>
    <w:rsid w:val="00D73D00"/>
  </w:style>
  <w:style w:type="paragraph" w:customStyle="1" w:styleId="Body">
    <w:name w:val="Body"/>
    <w:rsid w:val="00CD53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Default">
    <w:name w:val="Default"/>
    <w:rsid w:val="00EA28A8"/>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390C3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919">
      <w:bodyDiv w:val="1"/>
      <w:marLeft w:val="0"/>
      <w:marRight w:val="0"/>
      <w:marTop w:val="0"/>
      <w:marBottom w:val="0"/>
      <w:divBdr>
        <w:top w:val="none" w:sz="0" w:space="0" w:color="auto"/>
        <w:left w:val="none" w:sz="0" w:space="0" w:color="auto"/>
        <w:bottom w:val="none" w:sz="0" w:space="0" w:color="auto"/>
        <w:right w:val="none" w:sz="0" w:space="0" w:color="auto"/>
      </w:divBdr>
      <w:divsChild>
        <w:div w:id="1948735328">
          <w:marLeft w:val="2246"/>
          <w:marRight w:val="0"/>
          <w:marTop w:val="100"/>
          <w:marBottom w:val="0"/>
          <w:divBdr>
            <w:top w:val="none" w:sz="0" w:space="0" w:color="auto"/>
            <w:left w:val="none" w:sz="0" w:space="0" w:color="auto"/>
            <w:bottom w:val="none" w:sz="0" w:space="0" w:color="auto"/>
            <w:right w:val="none" w:sz="0" w:space="0" w:color="auto"/>
          </w:divBdr>
        </w:div>
        <w:div w:id="981499207">
          <w:marLeft w:val="2246"/>
          <w:marRight w:val="0"/>
          <w:marTop w:val="100"/>
          <w:marBottom w:val="0"/>
          <w:divBdr>
            <w:top w:val="none" w:sz="0" w:space="0" w:color="auto"/>
            <w:left w:val="none" w:sz="0" w:space="0" w:color="auto"/>
            <w:bottom w:val="none" w:sz="0" w:space="0" w:color="auto"/>
            <w:right w:val="none" w:sz="0" w:space="0" w:color="auto"/>
          </w:divBdr>
        </w:div>
        <w:div w:id="1002198490">
          <w:marLeft w:val="2246"/>
          <w:marRight w:val="0"/>
          <w:marTop w:val="100"/>
          <w:marBottom w:val="0"/>
          <w:divBdr>
            <w:top w:val="none" w:sz="0" w:space="0" w:color="auto"/>
            <w:left w:val="none" w:sz="0" w:space="0" w:color="auto"/>
            <w:bottom w:val="none" w:sz="0" w:space="0" w:color="auto"/>
            <w:right w:val="none" w:sz="0" w:space="0" w:color="auto"/>
          </w:divBdr>
        </w:div>
        <w:div w:id="1998068999">
          <w:marLeft w:val="2246"/>
          <w:marRight w:val="0"/>
          <w:marTop w:val="100"/>
          <w:marBottom w:val="0"/>
          <w:divBdr>
            <w:top w:val="none" w:sz="0" w:space="0" w:color="auto"/>
            <w:left w:val="none" w:sz="0" w:space="0" w:color="auto"/>
            <w:bottom w:val="none" w:sz="0" w:space="0" w:color="auto"/>
            <w:right w:val="none" w:sz="0" w:space="0" w:color="auto"/>
          </w:divBdr>
        </w:div>
        <w:div w:id="297686417">
          <w:marLeft w:val="2246"/>
          <w:marRight w:val="0"/>
          <w:marTop w:val="100"/>
          <w:marBottom w:val="0"/>
          <w:divBdr>
            <w:top w:val="none" w:sz="0" w:space="0" w:color="auto"/>
            <w:left w:val="none" w:sz="0" w:space="0" w:color="auto"/>
            <w:bottom w:val="none" w:sz="0" w:space="0" w:color="auto"/>
            <w:right w:val="none" w:sz="0" w:space="0" w:color="auto"/>
          </w:divBdr>
        </w:div>
        <w:div w:id="111636921">
          <w:marLeft w:val="2246"/>
          <w:marRight w:val="0"/>
          <w:marTop w:val="100"/>
          <w:marBottom w:val="0"/>
          <w:divBdr>
            <w:top w:val="none" w:sz="0" w:space="0" w:color="auto"/>
            <w:left w:val="none" w:sz="0" w:space="0" w:color="auto"/>
            <w:bottom w:val="none" w:sz="0" w:space="0" w:color="auto"/>
            <w:right w:val="none" w:sz="0" w:space="0" w:color="auto"/>
          </w:divBdr>
        </w:div>
      </w:divsChild>
    </w:div>
    <w:div w:id="334577655">
      <w:bodyDiv w:val="1"/>
      <w:marLeft w:val="0"/>
      <w:marRight w:val="0"/>
      <w:marTop w:val="0"/>
      <w:marBottom w:val="0"/>
      <w:divBdr>
        <w:top w:val="none" w:sz="0" w:space="0" w:color="auto"/>
        <w:left w:val="none" w:sz="0" w:space="0" w:color="auto"/>
        <w:bottom w:val="none" w:sz="0" w:space="0" w:color="auto"/>
        <w:right w:val="none" w:sz="0" w:space="0" w:color="auto"/>
      </w:divBdr>
    </w:div>
    <w:div w:id="512233112">
      <w:bodyDiv w:val="1"/>
      <w:marLeft w:val="0"/>
      <w:marRight w:val="0"/>
      <w:marTop w:val="0"/>
      <w:marBottom w:val="0"/>
      <w:divBdr>
        <w:top w:val="none" w:sz="0" w:space="0" w:color="auto"/>
        <w:left w:val="none" w:sz="0" w:space="0" w:color="auto"/>
        <w:bottom w:val="none" w:sz="0" w:space="0" w:color="auto"/>
        <w:right w:val="none" w:sz="0" w:space="0" w:color="auto"/>
      </w:divBdr>
      <w:divsChild>
        <w:div w:id="58019417">
          <w:marLeft w:val="720"/>
          <w:marRight w:val="0"/>
          <w:marTop w:val="200"/>
          <w:marBottom w:val="0"/>
          <w:divBdr>
            <w:top w:val="none" w:sz="0" w:space="0" w:color="auto"/>
            <w:left w:val="none" w:sz="0" w:space="0" w:color="auto"/>
            <w:bottom w:val="none" w:sz="0" w:space="0" w:color="auto"/>
            <w:right w:val="none" w:sz="0" w:space="0" w:color="auto"/>
          </w:divBdr>
        </w:div>
        <w:div w:id="716785748">
          <w:marLeft w:val="720"/>
          <w:marRight w:val="0"/>
          <w:marTop w:val="200"/>
          <w:marBottom w:val="0"/>
          <w:divBdr>
            <w:top w:val="none" w:sz="0" w:space="0" w:color="auto"/>
            <w:left w:val="none" w:sz="0" w:space="0" w:color="auto"/>
            <w:bottom w:val="none" w:sz="0" w:space="0" w:color="auto"/>
            <w:right w:val="none" w:sz="0" w:space="0" w:color="auto"/>
          </w:divBdr>
        </w:div>
        <w:div w:id="1194533908">
          <w:marLeft w:val="720"/>
          <w:marRight w:val="0"/>
          <w:marTop w:val="200"/>
          <w:marBottom w:val="0"/>
          <w:divBdr>
            <w:top w:val="none" w:sz="0" w:space="0" w:color="auto"/>
            <w:left w:val="none" w:sz="0" w:space="0" w:color="auto"/>
            <w:bottom w:val="none" w:sz="0" w:space="0" w:color="auto"/>
            <w:right w:val="none" w:sz="0" w:space="0" w:color="auto"/>
          </w:divBdr>
        </w:div>
      </w:divsChild>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1426269836">
      <w:bodyDiv w:val="1"/>
      <w:marLeft w:val="0"/>
      <w:marRight w:val="0"/>
      <w:marTop w:val="0"/>
      <w:marBottom w:val="0"/>
      <w:divBdr>
        <w:top w:val="none" w:sz="0" w:space="0" w:color="auto"/>
        <w:left w:val="none" w:sz="0" w:space="0" w:color="auto"/>
        <w:bottom w:val="none" w:sz="0" w:space="0" w:color="auto"/>
        <w:right w:val="none" w:sz="0" w:space="0" w:color="auto"/>
      </w:divBdr>
    </w:div>
    <w:div w:id="1477724205">
      <w:bodyDiv w:val="1"/>
      <w:marLeft w:val="0"/>
      <w:marRight w:val="0"/>
      <w:marTop w:val="0"/>
      <w:marBottom w:val="0"/>
      <w:divBdr>
        <w:top w:val="none" w:sz="0" w:space="0" w:color="auto"/>
        <w:left w:val="none" w:sz="0" w:space="0" w:color="auto"/>
        <w:bottom w:val="none" w:sz="0" w:space="0" w:color="auto"/>
        <w:right w:val="none" w:sz="0" w:space="0" w:color="auto"/>
      </w:divBdr>
    </w:div>
    <w:div w:id="156579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Fenton</dc:creator>
  <cp:keywords/>
  <dc:description/>
  <cp:lastModifiedBy>Hilary Greene</cp:lastModifiedBy>
  <cp:revision>3</cp:revision>
  <cp:lastPrinted>2018-02-26T09:24:00Z</cp:lastPrinted>
  <dcterms:created xsi:type="dcterms:W3CDTF">2018-11-13T10:33:00Z</dcterms:created>
  <dcterms:modified xsi:type="dcterms:W3CDTF">2018-11-13T10:33:00Z</dcterms:modified>
</cp:coreProperties>
</file>