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5539" w14:textId="77777777" w:rsidR="005B011F" w:rsidRPr="00EA1CC6" w:rsidRDefault="005B011F" w:rsidP="005B011F">
      <w:pPr>
        <w:jc w:val="center"/>
        <w:rPr>
          <w:rFonts w:cs="Arial"/>
          <w:b/>
          <w:bCs/>
        </w:rPr>
      </w:pPr>
      <w:r w:rsidRPr="00EA1CC6">
        <w:rPr>
          <w:rFonts w:cs="Arial"/>
          <w:b/>
          <w:bCs/>
        </w:rPr>
        <w:t>Stanton St Quintin Neighbourhood Development Plan Steering Group</w:t>
      </w:r>
    </w:p>
    <w:p w14:paraId="169E2A33" w14:textId="77777777" w:rsidR="005B011F" w:rsidRPr="00EA1CC6" w:rsidRDefault="005B011F" w:rsidP="005B011F">
      <w:pPr>
        <w:jc w:val="center"/>
        <w:rPr>
          <w:rFonts w:cs="Arial"/>
          <w:b/>
          <w:bCs/>
        </w:rPr>
      </w:pPr>
    </w:p>
    <w:p w14:paraId="4CC5ACBC" w14:textId="54399EB3" w:rsidR="005B011F" w:rsidRDefault="005B011F" w:rsidP="005B011F">
      <w:pPr>
        <w:jc w:val="center"/>
        <w:rPr>
          <w:rFonts w:cs="Arial"/>
          <w:b/>
          <w:bCs/>
        </w:rPr>
      </w:pPr>
      <w:r w:rsidRPr="00EA1CC6">
        <w:rPr>
          <w:rFonts w:cs="Arial"/>
          <w:b/>
          <w:bCs/>
        </w:rPr>
        <w:t xml:space="preserve">Minutes of the meeting of </w:t>
      </w:r>
      <w:r w:rsidR="00CA4A25">
        <w:rPr>
          <w:rFonts w:cs="Arial"/>
          <w:b/>
          <w:bCs/>
        </w:rPr>
        <w:t>8</w:t>
      </w:r>
      <w:r w:rsidR="00CA4A25" w:rsidRPr="00CA4A25">
        <w:rPr>
          <w:rFonts w:cs="Arial"/>
          <w:b/>
          <w:bCs/>
          <w:vertAlign w:val="superscript"/>
        </w:rPr>
        <w:t>th</w:t>
      </w:r>
      <w:r w:rsidR="00CA4A25">
        <w:rPr>
          <w:rFonts w:cs="Arial"/>
          <w:b/>
          <w:bCs/>
        </w:rPr>
        <w:t xml:space="preserve"> October </w:t>
      </w:r>
      <w:r w:rsidR="00C721C8">
        <w:rPr>
          <w:rFonts w:cs="Arial"/>
          <w:b/>
          <w:bCs/>
        </w:rPr>
        <w:t>held in Long Barn</w:t>
      </w:r>
    </w:p>
    <w:p w14:paraId="568089B4" w14:textId="35B6167A" w:rsidR="00587872" w:rsidRPr="00EA1CC6" w:rsidRDefault="00587872" w:rsidP="005B011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These minutes should be read in conjunction with the </w:t>
      </w:r>
      <w:r w:rsidR="00CA4A25">
        <w:rPr>
          <w:rFonts w:cs="Arial"/>
          <w:b/>
          <w:bCs/>
        </w:rPr>
        <w:t xml:space="preserve">October </w:t>
      </w:r>
      <w:r w:rsidR="005B62C9">
        <w:rPr>
          <w:rFonts w:cs="Arial"/>
          <w:b/>
          <w:bCs/>
        </w:rPr>
        <w:t>20</w:t>
      </w:r>
      <w:r>
        <w:rPr>
          <w:rFonts w:cs="Arial"/>
          <w:b/>
          <w:bCs/>
        </w:rPr>
        <w:t xml:space="preserve">18 </w:t>
      </w:r>
      <w:r w:rsidR="00F25E72">
        <w:rPr>
          <w:rFonts w:cs="Arial"/>
          <w:b/>
          <w:bCs/>
        </w:rPr>
        <w:t>PowerPoint</w:t>
      </w:r>
      <w:r>
        <w:rPr>
          <w:rFonts w:cs="Arial"/>
          <w:b/>
          <w:bCs/>
        </w:rPr>
        <w:t xml:space="preserve"> presentation </w:t>
      </w:r>
    </w:p>
    <w:p w14:paraId="1C2F9D54" w14:textId="77777777" w:rsidR="00975D43" w:rsidRPr="00EA1CC6" w:rsidRDefault="00975D43" w:rsidP="005B011F">
      <w:pPr>
        <w:jc w:val="center"/>
        <w:rPr>
          <w:rFonts w:cs="Arial"/>
          <w:b/>
          <w:bCs/>
        </w:rPr>
      </w:pPr>
    </w:p>
    <w:p w14:paraId="69B3584F" w14:textId="76B48C57" w:rsidR="005B011F" w:rsidRPr="00EA1CC6" w:rsidRDefault="00CD53AB" w:rsidP="005B011F">
      <w:pPr>
        <w:ind w:right="-7"/>
        <w:jc w:val="both"/>
        <w:rPr>
          <w:sz w:val="22"/>
          <w:szCs w:val="22"/>
        </w:rPr>
      </w:pPr>
      <w:r>
        <w:rPr>
          <w:b/>
          <w:sz w:val="22"/>
          <w:szCs w:val="22"/>
        </w:rPr>
        <w:t>Pr</w:t>
      </w:r>
      <w:r w:rsidR="005B011F" w:rsidRPr="00EA1CC6">
        <w:rPr>
          <w:b/>
          <w:sz w:val="22"/>
          <w:szCs w:val="22"/>
        </w:rPr>
        <w:t>esent: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Paul Craven (Chair), </w:t>
      </w:r>
      <w:r w:rsidR="005B011F" w:rsidRPr="00EA1CC6">
        <w:rPr>
          <w:sz w:val="22"/>
          <w:szCs w:val="22"/>
        </w:rPr>
        <w:t>Elspeth Schwenk</w:t>
      </w:r>
      <w:r w:rsidR="001D127A">
        <w:rPr>
          <w:sz w:val="22"/>
          <w:szCs w:val="22"/>
        </w:rPr>
        <w:t>,</w:t>
      </w:r>
      <w:r w:rsidR="0046007D">
        <w:rPr>
          <w:sz w:val="22"/>
          <w:szCs w:val="22"/>
        </w:rPr>
        <w:t xml:space="preserve"> </w:t>
      </w:r>
      <w:r w:rsidR="001D127A" w:rsidRPr="00EA1CC6">
        <w:rPr>
          <w:sz w:val="22"/>
          <w:szCs w:val="22"/>
        </w:rPr>
        <w:t>Graeme Pattison</w:t>
      </w:r>
      <w:r w:rsidR="001D127A">
        <w:rPr>
          <w:sz w:val="22"/>
          <w:szCs w:val="22"/>
        </w:rPr>
        <w:t>,</w:t>
      </w:r>
      <w:r w:rsidR="00AE3020">
        <w:rPr>
          <w:sz w:val="22"/>
          <w:szCs w:val="22"/>
        </w:rPr>
        <w:t xml:space="preserve"> </w:t>
      </w:r>
      <w:r w:rsidR="00C721C8">
        <w:rPr>
          <w:sz w:val="22"/>
          <w:szCs w:val="22"/>
        </w:rPr>
        <w:t>Roger Starling,</w:t>
      </w:r>
      <w:r>
        <w:rPr>
          <w:sz w:val="22"/>
          <w:szCs w:val="22"/>
        </w:rPr>
        <w:t xml:space="preserve"> </w:t>
      </w:r>
      <w:r w:rsidR="00CA4A25">
        <w:rPr>
          <w:sz w:val="22"/>
          <w:szCs w:val="22"/>
        </w:rPr>
        <w:t>Gil Schwenk</w:t>
      </w:r>
      <w:r w:rsidR="005B011F" w:rsidRPr="00EA1CC6">
        <w:rPr>
          <w:sz w:val="22"/>
          <w:szCs w:val="22"/>
        </w:rPr>
        <w:t xml:space="preserve"> </w:t>
      </w:r>
    </w:p>
    <w:p w14:paraId="204FC2C4" w14:textId="77777777" w:rsidR="00975D43" w:rsidRPr="00852E9B" w:rsidRDefault="00975D43" w:rsidP="005B011F">
      <w:pPr>
        <w:rPr>
          <w:rFonts w:cs="Arial"/>
          <w:sz w:val="22"/>
          <w:szCs w:val="22"/>
        </w:rPr>
      </w:pPr>
    </w:p>
    <w:tbl>
      <w:tblPr>
        <w:tblW w:w="8878" w:type="dxa"/>
        <w:tblInd w:w="-176" w:type="dxa"/>
        <w:tblLook w:val="0000" w:firstRow="0" w:lastRow="0" w:firstColumn="0" w:lastColumn="0" w:noHBand="0" w:noVBand="0"/>
      </w:tblPr>
      <w:tblGrid>
        <w:gridCol w:w="863"/>
        <w:gridCol w:w="6747"/>
        <w:gridCol w:w="1268"/>
      </w:tblGrid>
      <w:tr w:rsidR="005B011F" w:rsidRPr="00975D43" w14:paraId="6452E082" w14:textId="77777777" w:rsidTr="00D036FA">
        <w:trPr>
          <w:cantSplit/>
          <w:tblHeader/>
        </w:trPr>
        <w:tc>
          <w:tcPr>
            <w:tcW w:w="863" w:type="dxa"/>
          </w:tcPr>
          <w:p w14:paraId="2EEF9A8B" w14:textId="77777777" w:rsidR="005B011F" w:rsidRPr="00975D43" w:rsidRDefault="005B011F" w:rsidP="00182307">
            <w:pPr>
              <w:ind w:left="17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390888F5" w14:textId="77777777" w:rsidR="005B011F" w:rsidRPr="00975D43" w:rsidRDefault="005B011F" w:rsidP="0046007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</w:tcPr>
          <w:p w14:paraId="177AFD44" w14:textId="77777777" w:rsidR="005B011F" w:rsidRPr="00975D43" w:rsidRDefault="005B011F" w:rsidP="0018230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75D43">
              <w:rPr>
                <w:rFonts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5B011F" w:rsidRPr="00975D43" w14:paraId="13546075" w14:textId="77777777" w:rsidTr="00D036FA">
        <w:trPr>
          <w:cantSplit/>
        </w:trPr>
        <w:tc>
          <w:tcPr>
            <w:tcW w:w="863" w:type="dxa"/>
          </w:tcPr>
          <w:p w14:paraId="5A7BCE04" w14:textId="77777777" w:rsidR="005B011F" w:rsidRPr="00975D43" w:rsidRDefault="005B011F" w:rsidP="00182307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5A9B53C8" w14:textId="77777777" w:rsidR="005B011F" w:rsidRPr="00975D43" w:rsidRDefault="005B011F" w:rsidP="0046007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75D43"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1268" w:type="dxa"/>
          </w:tcPr>
          <w:p w14:paraId="13EA01D1" w14:textId="77777777" w:rsidR="005B011F" w:rsidRPr="00975D43" w:rsidRDefault="005B011F" w:rsidP="0018230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B011F" w:rsidRPr="00975D43" w14:paraId="57DA3631" w14:textId="77777777" w:rsidTr="00BD34C3">
        <w:trPr>
          <w:cantSplit/>
          <w:trHeight w:val="175"/>
        </w:trPr>
        <w:tc>
          <w:tcPr>
            <w:tcW w:w="863" w:type="dxa"/>
          </w:tcPr>
          <w:p w14:paraId="27051E74" w14:textId="77777777" w:rsidR="005B011F" w:rsidRPr="00975D43" w:rsidRDefault="005B011F" w:rsidP="00182307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0A6E1997" w14:textId="2D6CE1F7" w:rsidR="00F50C55" w:rsidRPr="00975D43" w:rsidRDefault="00CA4A25" w:rsidP="00C721C8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Hilary Greene, Rosalind Brown, </w:t>
            </w:r>
            <w:r w:rsidR="00143265">
              <w:rPr>
                <w:sz w:val="22"/>
                <w:szCs w:val="22"/>
              </w:rPr>
              <w:t>Mike Smith and Stephanie Fenton sent</w:t>
            </w:r>
            <w:r w:rsidR="00C721C8">
              <w:rPr>
                <w:sz w:val="22"/>
                <w:szCs w:val="22"/>
              </w:rPr>
              <w:t xml:space="preserve"> apologies.</w:t>
            </w:r>
          </w:p>
        </w:tc>
        <w:tc>
          <w:tcPr>
            <w:tcW w:w="1268" w:type="dxa"/>
          </w:tcPr>
          <w:p w14:paraId="3CD87A57" w14:textId="77777777" w:rsidR="005B011F" w:rsidRPr="00975D43" w:rsidRDefault="005B011F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B011F" w:rsidRPr="00975D43" w14:paraId="7E833874" w14:textId="77777777" w:rsidTr="00D036FA">
        <w:trPr>
          <w:cantSplit/>
        </w:trPr>
        <w:tc>
          <w:tcPr>
            <w:tcW w:w="863" w:type="dxa"/>
          </w:tcPr>
          <w:p w14:paraId="695DE6CA" w14:textId="77777777" w:rsidR="005B011F" w:rsidRPr="00975D43" w:rsidRDefault="005B011F" w:rsidP="00182307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526BD04A" w14:textId="3E12515D" w:rsidR="005B011F" w:rsidRPr="00975D43" w:rsidRDefault="005B011F" w:rsidP="00DE0355">
            <w:pPr>
              <w:pStyle w:val="Heading1"/>
              <w:rPr>
                <w:rFonts w:cs="Arial"/>
                <w:sz w:val="22"/>
                <w:szCs w:val="22"/>
              </w:rPr>
            </w:pPr>
            <w:r w:rsidRPr="00975D43">
              <w:rPr>
                <w:rFonts w:cs="Arial"/>
                <w:sz w:val="22"/>
                <w:szCs w:val="22"/>
              </w:rPr>
              <w:t xml:space="preserve">Minutes </w:t>
            </w:r>
            <w:r w:rsidR="001D127A">
              <w:rPr>
                <w:rFonts w:cs="Arial"/>
                <w:sz w:val="22"/>
                <w:szCs w:val="22"/>
              </w:rPr>
              <w:t>and action</w:t>
            </w:r>
            <w:r w:rsidR="00C721C8">
              <w:rPr>
                <w:rFonts w:cs="Arial"/>
                <w:sz w:val="22"/>
                <w:szCs w:val="22"/>
              </w:rPr>
              <w:t>s</w:t>
            </w:r>
            <w:r w:rsidR="001D127A">
              <w:rPr>
                <w:rFonts w:cs="Arial"/>
                <w:sz w:val="22"/>
                <w:szCs w:val="22"/>
              </w:rPr>
              <w:t xml:space="preserve"> from</w:t>
            </w:r>
            <w:r w:rsidRPr="00975D43">
              <w:rPr>
                <w:rFonts w:cs="Arial"/>
                <w:sz w:val="22"/>
                <w:szCs w:val="22"/>
              </w:rPr>
              <w:t xml:space="preserve"> </w:t>
            </w:r>
            <w:r w:rsidR="00CA4A25">
              <w:rPr>
                <w:rFonts w:cs="Arial"/>
                <w:sz w:val="22"/>
                <w:szCs w:val="22"/>
              </w:rPr>
              <w:t>17</w:t>
            </w:r>
            <w:r w:rsidR="00CA4A25" w:rsidRPr="00CA4A25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CA4A25">
              <w:rPr>
                <w:rFonts w:cs="Arial"/>
                <w:sz w:val="22"/>
                <w:szCs w:val="22"/>
              </w:rPr>
              <w:t xml:space="preserve"> September</w:t>
            </w:r>
            <w:r w:rsidRPr="00975D4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14:paraId="0D2278DC" w14:textId="77777777" w:rsidR="005B011F" w:rsidRPr="00975D43" w:rsidRDefault="005B011F" w:rsidP="00182307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</w:tr>
      <w:tr w:rsidR="005B011F" w:rsidRPr="00975D43" w14:paraId="21A18B40" w14:textId="77777777" w:rsidTr="00D036FA">
        <w:trPr>
          <w:cantSplit/>
        </w:trPr>
        <w:tc>
          <w:tcPr>
            <w:tcW w:w="863" w:type="dxa"/>
          </w:tcPr>
          <w:p w14:paraId="0B19C49D" w14:textId="77777777" w:rsidR="005B011F" w:rsidRPr="00975D43" w:rsidRDefault="005B011F" w:rsidP="00182307">
            <w:pPr>
              <w:numPr>
                <w:ilvl w:val="1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769861EC" w14:textId="77777777" w:rsidR="00F50C55" w:rsidRPr="00F50C55" w:rsidRDefault="00C721C8" w:rsidP="0046007D">
            <w:pPr>
              <w:pStyle w:val="Heading1"/>
            </w:pPr>
            <w:r>
              <w:rPr>
                <w:rFonts w:cs="Arial"/>
                <w:b w:val="0"/>
                <w:sz w:val="22"/>
                <w:szCs w:val="22"/>
              </w:rPr>
              <w:t>Minutes agreed</w:t>
            </w:r>
          </w:p>
        </w:tc>
        <w:tc>
          <w:tcPr>
            <w:tcW w:w="1268" w:type="dxa"/>
          </w:tcPr>
          <w:p w14:paraId="4EF17EFD" w14:textId="77777777" w:rsidR="005B011F" w:rsidRPr="00975D43" w:rsidRDefault="005B011F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B011F" w:rsidRPr="00975D43" w14:paraId="3032D7D4" w14:textId="77777777" w:rsidTr="00D036FA">
        <w:trPr>
          <w:cantSplit/>
        </w:trPr>
        <w:tc>
          <w:tcPr>
            <w:tcW w:w="863" w:type="dxa"/>
          </w:tcPr>
          <w:p w14:paraId="4D67D9D6" w14:textId="77777777" w:rsidR="005B011F" w:rsidRPr="00975D43" w:rsidRDefault="005B011F" w:rsidP="00182307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241CBA70" w14:textId="77777777" w:rsidR="005B011F" w:rsidRPr="00975D43" w:rsidRDefault="0046007D" w:rsidP="0046007D">
            <w:pPr>
              <w:pStyle w:val="Heading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Matters arising</w:t>
            </w:r>
          </w:p>
        </w:tc>
        <w:tc>
          <w:tcPr>
            <w:tcW w:w="1268" w:type="dxa"/>
          </w:tcPr>
          <w:p w14:paraId="7D293067" w14:textId="77777777" w:rsidR="005B011F" w:rsidRPr="00975D43" w:rsidRDefault="005B011F" w:rsidP="00182307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</w:tr>
      <w:tr w:rsidR="0046007D" w:rsidRPr="0046007D" w14:paraId="6F2AAA55" w14:textId="77777777" w:rsidTr="00D036FA">
        <w:trPr>
          <w:cantSplit/>
        </w:trPr>
        <w:tc>
          <w:tcPr>
            <w:tcW w:w="863" w:type="dxa"/>
          </w:tcPr>
          <w:p w14:paraId="298EB5F6" w14:textId="77777777" w:rsidR="0046007D" w:rsidRPr="0046007D" w:rsidRDefault="0046007D" w:rsidP="0046007D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62E75EF4" w14:textId="49D60529" w:rsidR="0046007D" w:rsidRPr="0046007D" w:rsidRDefault="00AE3020" w:rsidP="00460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Hilary has still to hear from the Diocese.</w:t>
            </w:r>
            <w:r w:rsidR="004637E5">
              <w:rPr>
                <w:sz w:val="22"/>
                <w:szCs w:val="22"/>
              </w:rPr>
              <w:t xml:space="preserve"> Tbc</w:t>
            </w:r>
          </w:p>
        </w:tc>
        <w:tc>
          <w:tcPr>
            <w:tcW w:w="1268" w:type="dxa"/>
          </w:tcPr>
          <w:p w14:paraId="6132A682" w14:textId="77777777" w:rsidR="0046007D" w:rsidRPr="0046007D" w:rsidRDefault="0046007D" w:rsidP="0046007D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B62C9" w:rsidRPr="0046007D" w14:paraId="7D974B42" w14:textId="77777777" w:rsidTr="00D036FA">
        <w:trPr>
          <w:cantSplit/>
        </w:trPr>
        <w:tc>
          <w:tcPr>
            <w:tcW w:w="863" w:type="dxa"/>
          </w:tcPr>
          <w:p w14:paraId="52D5684D" w14:textId="77777777" w:rsidR="005B62C9" w:rsidRPr="0046007D" w:rsidRDefault="005B62C9" w:rsidP="0046007D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600F41B0" w14:textId="016FC6E9" w:rsidR="004637E5" w:rsidRDefault="00AE3020" w:rsidP="00463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Vision </w:t>
            </w:r>
            <w:r w:rsidR="004637E5">
              <w:rPr>
                <w:sz w:val="22"/>
                <w:szCs w:val="22"/>
              </w:rPr>
              <w:t xml:space="preserve">Mission </w:t>
            </w:r>
            <w:r>
              <w:rPr>
                <w:sz w:val="22"/>
                <w:szCs w:val="22"/>
              </w:rPr>
              <w:t xml:space="preserve">Statement revision – </w:t>
            </w:r>
            <w:r w:rsidR="004637E5">
              <w:rPr>
                <w:sz w:val="22"/>
                <w:szCs w:val="22"/>
              </w:rPr>
              <w:t xml:space="preserve">ES and PC put forward a suggestion to be considered – see attached.  </w:t>
            </w:r>
          </w:p>
        </w:tc>
        <w:tc>
          <w:tcPr>
            <w:tcW w:w="1268" w:type="dxa"/>
          </w:tcPr>
          <w:p w14:paraId="4457F679" w14:textId="77777777" w:rsidR="005B62C9" w:rsidRDefault="005B62C9" w:rsidP="0046007D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B62C9" w:rsidRPr="0046007D" w14:paraId="47A27CA9" w14:textId="77777777" w:rsidTr="00D036FA">
        <w:trPr>
          <w:cantSplit/>
        </w:trPr>
        <w:tc>
          <w:tcPr>
            <w:tcW w:w="863" w:type="dxa"/>
          </w:tcPr>
          <w:p w14:paraId="302F11DF" w14:textId="77777777" w:rsidR="005B62C9" w:rsidRPr="0046007D" w:rsidRDefault="005B62C9" w:rsidP="0046007D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18CD6B43" w14:textId="7DE8CAB9" w:rsidR="005B62C9" w:rsidRDefault="00AE3020" w:rsidP="00460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Footpath issue – </w:t>
            </w:r>
            <w:r w:rsidR="00B6746B">
              <w:rPr>
                <w:sz w:val="22"/>
                <w:szCs w:val="22"/>
              </w:rPr>
              <w:t xml:space="preserve">in September </w:t>
            </w:r>
            <w:r>
              <w:rPr>
                <w:sz w:val="22"/>
                <w:szCs w:val="22"/>
              </w:rPr>
              <w:t>Mike confirmed he had referred this to Nick, Chair of the Parish Council for him to liaise with the Rights of Way team.</w:t>
            </w:r>
            <w:r w:rsidR="004637E5">
              <w:rPr>
                <w:sz w:val="22"/>
                <w:szCs w:val="22"/>
              </w:rPr>
              <w:t xml:space="preserve"> No update available.</w:t>
            </w:r>
          </w:p>
        </w:tc>
        <w:tc>
          <w:tcPr>
            <w:tcW w:w="1268" w:type="dxa"/>
          </w:tcPr>
          <w:p w14:paraId="1B989540" w14:textId="77777777" w:rsidR="005B62C9" w:rsidRDefault="005B62C9" w:rsidP="0046007D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46007D" w:rsidRPr="00975D43" w14:paraId="138438F2" w14:textId="77777777" w:rsidTr="00D036FA">
        <w:trPr>
          <w:cantSplit/>
        </w:trPr>
        <w:tc>
          <w:tcPr>
            <w:tcW w:w="863" w:type="dxa"/>
          </w:tcPr>
          <w:p w14:paraId="3F953304" w14:textId="77777777" w:rsidR="0046007D" w:rsidRPr="00975D43" w:rsidRDefault="0046007D" w:rsidP="00182307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59D2EF34" w14:textId="77777777" w:rsidR="0046007D" w:rsidRPr="00975D43" w:rsidRDefault="005B62C9" w:rsidP="0046007D">
            <w:pPr>
              <w:pStyle w:val="Heading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Treasurer’s report</w:t>
            </w:r>
          </w:p>
        </w:tc>
        <w:tc>
          <w:tcPr>
            <w:tcW w:w="1268" w:type="dxa"/>
          </w:tcPr>
          <w:p w14:paraId="0C2F7410" w14:textId="77777777" w:rsidR="0046007D" w:rsidRPr="00975D43" w:rsidRDefault="0046007D" w:rsidP="00182307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</w:tr>
      <w:tr w:rsidR="005B011F" w:rsidRPr="00975D43" w14:paraId="46BE9458" w14:textId="77777777" w:rsidTr="00D036FA">
        <w:trPr>
          <w:cantSplit/>
        </w:trPr>
        <w:tc>
          <w:tcPr>
            <w:tcW w:w="863" w:type="dxa"/>
          </w:tcPr>
          <w:p w14:paraId="5289590E" w14:textId="77777777" w:rsidR="005B011F" w:rsidRPr="00975D43" w:rsidRDefault="005B011F" w:rsidP="00182307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7A2A5050" w14:textId="6E8DB3B4" w:rsidR="00B82D0F" w:rsidRPr="00975D43" w:rsidRDefault="00B82D0F" w:rsidP="00B674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HelveticaNeue" w:eastAsiaTheme="minorEastAsia" w:hAnsi="HelveticaNeue" w:cs="HelveticaNeue"/>
                <w:sz w:val="22"/>
                <w:szCs w:val="22"/>
              </w:rPr>
              <w:t>As attached.  B</w:t>
            </w:r>
            <w:r w:rsidR="005B62C9">
              <w:rPr>
                <w:rFonts w:ascii="HelveticaNeue" w:eastAsiaTheme="minorEastAsia" w:hAnsi="HelveticaNeue" w:cs="HelveticaNeue"/>
                <w:sz w:val="22"/>
                <w:szCs w:val="22"/>
              </w:rPr>
              <w:t>alance at bank is £</w:t>
            </w:r>
            <w:r>
              <w:rPr>
                <w:rFonts w:ascii="HelveticaNeue" w:eastAsiaTheme="minorEastAsia" w:hAnsi="HelveticaNeue" w:cs="HelveticaNeue"/>
                <w:sz w:val="22"/>
                <w:szCs w:val="22"/>
              </w:rPr>
              <w:t>3804.55</w:t>
            </w:r>
            <w:r w:rsidR="00AE3020">
              <w:rPr>
                <w:rFonts w:ascii="HelveticaNeue" w:eastAsiaTheme="minorEastAsia" w:hAnsi="HelveticaNeue" w:cs="HelveticaNeue"/>
                <w:sz w:val="22"/>
                <w:szCs w:val="22"/>
              </w:rPr>
              <w:t>.</w:t>
            </w:r>
            <w:r w:rsidR="005B62C9">
              <w:rPr>
                <w:rFonts w:ascii="HelveticaNeue" w:eastAsiaTheme="minorEastAsia" w:hAnsi="HelveticaNeue" w:cs="HelveticaNeue"/>
                <w:sz w:val="22"/>
                <w:szCs w:val="22"/>
              </w:rPr>
              <w:t xml:space="preserve"> </w:t>
            </w:r>
            <w:r>
              <w:rPr>
                <w:rFonts w:ascii="HelveticaNeue" w:eastAsiaTheme="minorEastAsia" w:hAnsi="HelveticaNeue" w:cs="HelveticaNeue"/>
                <w:sz w:val="22"/>
                <w:szCs w:val="22"/>
              </w:rPr>
              <w:t xml:space="preserve">                              Unclear if payments to Mike Smith and LG have been paid</w:t>
            </w:r>
            <w:r w:rsidR="00B6746B">
              <w:rPr>
                <w:rFonts w:ascii="HelveticaNeue" w:eastAsiaTheme="minorEastAsia" w:hAnsi="HelveticaNeue" w:cs="HelveticaNeue"/>
                <w:sz w:val="22"/>
                <w:szCs w:val="22"/>
              </w:rPr>
              <w:t xml:space="preserve">.               </w:t>
            </w:r>
          </w:p>
        </w:tc>
        <w:tc>
          <w:tcPr>
            <w:tcW w:w="1268" w:type="dxa"/>
          </w:tcPr>
          <w:p w14:paraId="44581249" w14:textId="77777777" w:rsidR="005B011F" w:rsidRDefault="005B011F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  <w:p w14:paraId="4ED46F4C" w14:textId="77777777" w:rsidR="00AE3020" w:rsidRPr="00AE3020" w:rsidRDefault="00AE3020" w:rsidP="005A50ED">
            <w:r>
              <w:t>R</w:t>
            </w:r>
            <w:r w:rsidR="005A50ED">
              <w:t>oger</w:t>
            </w:r>
          </w:p>
        </w:tc>
      </w:tr>
      <w:tr w:rsidR="00AE3020" w:rsidRPr="00975D43" w14:paraId="769240C5" w14:textId="77777777" w:rsidTr="00D036FA">
        <w:trPr>
          <w:cantSplit/>
        </w:trPr>
        <w:tc>
          <w:tcPr>
            <w:tcW w:w="863" w:type="dxa"/>
          </w:tcPr>
          <w:p w14:paraId="184DD6BA" w14:textId="77777777" w:rsidR="00AE3020" w:rsidRPr="00975D43" w:rsidRDefault="00AE3020" w:rsidP="00182307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7D33607A" w14:textId="66A53094" w:rsidR="00AE3020" w:rsidRDefault="00AE3020" w:rsidP="00AE3020">
            <w:pPr>
              <w:autoSpaceDE w:val="0"/>
              <w:autoSpaceDN w:val="0"/>
              <w:adjustRightInd w:val="0"/>
              <w:rPr>
                <w:rFonts w:ascii="HelveticaNeue" w:eastAsiaTheme="minorEastAsia" w:hAnsi="HelveticaNeue" w:cs="HelveticaNeue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7093064" w14:textId="77777777" w:rsidR="00AE3020" w:rsidRDefault="00AE3020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E3020" w:rsidRPr="00975D43" w14:paraId="2A2B2605" w14:textId="77777777" w:rsidTr="00D036FA">
        <w:trPr>
          <w:cantSplit/>
        </w:trPr>
        <w:tc>
          <w:tcPr>
            <w:tcW w:w="863" w:type="dxa"/>
          </w:tcPr>
          <w:p w14:paraId="63CBBA9A" w14:textId="77777777" w:rsidR="00AE3020" w:rsidRPr="00975D43" w:rsidRDefault="00AE3020" w:rsidP="00182307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00FA5AA6" w14:textId="77777777" w:rsidR="00AE3020" w:rsidRDefault="00AE3020" w:rsidP="00AE3020">
            <w:pPr>
              <w:autoSpaceDE w:val="0"/>
              <w:autoSpaceDN w:val="0"/>
              <w:adjustRightInd w:val="0"/>
              <w:rPr>
                <w:rFonts w:ascii="HelveticaNeue" w:eastAsiaTheme="minorEastAsia" w:hAnsi="HelveticaNeue" w:cs="HelveticaNeue"/>
                <w:sz w:val="22"/>
                <w:szCs w:val="22"/>
              </w:rPr>
            </w:pPr>
            <w:r>
              <w:rPr>
                <w:rFonts w:ascii="HelveticaNeue" w:eastAsiaTheme="minorEastAsia" w:hAnsi="HelveticaNeue" w:cs="HelveticaNeue"/>
                <w:sz w:val="22"/>
                <w:szCs w:val="22"/>
              </w:rPr>
              <w:t>There was some discussion around Dyson plans. Roger said he was going to try and get a donation from them towards our work.</w:t>
            </w:r>
          </w:p>
          <w:p w14:paraId="19C29BA9" w14:textId="22403191" w:rsidR="00B82D0F" w:rsidRDefault="00B82D0F" w:rsidP="00AE3020">
            <w:pPr>
              <w:autoSpaceDE w:val="0"/>
              <w:autoSpaceDN w:val="0"/>
              <w:adjustRightInd w:val="0"/>
              <w:rPr>
                <w:rFonts w:ascii="HelveticaNeue" w:eastAsiaTheme="minorEastAsia" w:hAnsi="HelveticaNeue" w:cs="HelveticaNeue"/>
                <w:sz w:val="22"/>
                <w:szCs w:val="22"/>
              </w:rPr>
            </w:pPr>
            <w:r>
              <w:rPr>
                <w:rFonts w:ascii="HelveticaNeue" w:eastAsiaTheme="minorEastAsia" w:hAnsi="HelveticaNeue" w:cs="HelveticaNeue"/>
                <w:sz w:val="22"/>
                <w:szCs w:val="22"/>
              </w:rPr>
              <w:t>There has not been any response.</w:t>
            </w:r>
          </w:p>
        </w:tc>
        <w:tc>
          <w:tcPr>
            <w:tcW w:w="1268" w:type="dxa"/>
          </w:tcPr>
          <w:p w14:paraId="59DA6395" w14:textId="77777777" w:rsidR="00AE3020" w:rsidRDefault="00AE3020" w:rsidP="005A50ED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="005A50ED">
              <w:rPr>
                <w:rFonts w:cs="Arial"/>
                <w:b w:val="0"/>
                <w:sz w:val="22"/>
                <w:szCs w:val="22"/>
              </w:rPr>
              <w:t>oger</w:t>
            </w:r>
          </w:p>
        </w:tc>
      </w:tr>
      <w:tr w:rsidR="000D1BE9" w:rsidRPr="00975D43" w14:paraId="21390C56" w14:textId="77777777" w:rsidTr="00D036FA">
        <w:trPr>
          <w:cantSplit/>
        </w:trPr>
        <w:tc>
          <w:tcPr>
            <w:tcW w:w="863" w:type="dxa"/>
          </w:tcPr>
          <w:p w14:paraId="545E4DF4" w14:textId="77777777" w:rsidR="000D1BE9" w:rsidRPr="00975D43" w:rsidRDefault="000D1BE9" w:rsidP="000D1BE9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40E17610" w14:textId="19F917C4" w:rsidR="000D1BE9" w:rsidRPr="000D1BE9" w:rsidRDefault="00AE3020" w:rsidP="005B62C9">
            <w:pPr>
              <w:ind w:right="-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Green Spaces</w:t>
            </w:r>
            <w:r w:rsidR="00B6746B">
              <w:rPr>
                <w:b/>
                <w:sz w:val="22"/>
                <w:szCs w:val="22"/>
              </w:rPr>
              <w:t xml:space="preserve"> – November Agenda</w:t>
            </w:r>
          </w:p>
        </w:tc>
        <w:tc>
          <w:tcPr>
            <w:tcW w:w="1268" w:type="dxa"/>
          </w:tcPr>
          <w:p w14:paraId="247B1749" w14:textId="77777777" w:rsidR="000D1BE9" w:rsidRPr="00975D43" w:rsidRDefault="000D1BE9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0D1BE9" w:rsidRPr="00975D43" w14:paraId="7C7E9A82" w14:textId="77777777" w:rsidTr="00D036FA">
        <w:trPr>
          <w:cantSplit/>
        </w:trPr>
        <w:tc>
          <w:tcPr>
            <w:tcW w:w="863" w:type="dxa"/>
          </w:tcPr>
          <w:p w14:paraId="249AF74A" w14:textId="77777777" w:rsidR="000D1BE9" w:rsidRPr="00975D43" w:rsidRDefault="000D1BE9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680DA6A0" w14:textId="77777777" w:rsidR="000D1BE9" w:rsidRDefault="00AE3020" w:rsidP="005A50ED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showed a list of 6 green spaces that have been identified – see his slide 4. This includes the army sports</w:t>
            </w:r>
            <w:r w:rsidR="005A50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field and the Village Green. </w:t>
            </w:r>
            <w:r w:rsidR="005A50ED">
              <w:rPr>
                <w:sz w:val="22"/>
                <w:szCs w:val="22"/>
              </w:rPr>
              <w:t>Paul asked us to let Graeme know if we think of others that should be included.</w:t>
            </w:r>
            <w:r>
              <w:rPr>
                <w:sz w:val="22"/>
                <w:szCs w:val="22"/>
              </w:rPr>
              <w:t xml:space="preserve"> </w:t>
            </w:r>
            <w:r w:rsidR="005A50ED">
              <w:rPr>
                <w:sz w:val="22"/>
                <w:szCs w:val="22"/>
              </w:rPr>
              <w:t>We wondered about the garden in front of the mess – Mike thought it would be included in the listing of the mess as curtilage.</w:t>
            </w:r>
          </w:p>
        </w:tc>
        <w:tc>
          <w:tcPr>
            <w:tcW w:w="1268" w:type="dxa"/>
          </w:tcPr>
          <w:p w14:paraId="6EBE32AC" w14:textId="77777777" w:rsidR="000D1BE9" w:rsidRDefault="000D1BE9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  <w:p w14:paraId="11AAD591" w14:textId="77777777" w:rsidR="005A50ED" w:rsidRDefault="005A50ED" w:rsidP="005A50ED"/>
          <w:p w14:paraId="61CFD080" w14:textId="77777777" w:rsidR="005A50ED" w:rsidRPr="005A50ED" w:rsidRDefault="005A50ED" w:rsidP="00EB1102">
            <w:r>
              <w:t>A</w:t>
            </w:r>
            <w:r w:rsidR="00EB1102">
              <w:t>LL</w:t>
            </w:r>
          </w:p>
        </w:tc>
      </w:tr>
      <w:tr w:rsidR="000D1BE9" w:rsidRPr="00975D43" w14:paraId="6F72C609" w14:textId="77777777" w:rsidTr="00D036FA">
        <w:trPr>
          <w:cantSplit/>
        </w:trPr>
        <w:tc>
          <w:tcPr>
            <w:tcW w:w="863" w:type="dxa"/>
          </w:tcPr>
          <w:p w14:paraId="1FFA6F87" w14:textId="77777777" w:rsidR="000D1BE9" w:rsidRPr="00975D43" w:rsidRDefault="000D1BE9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65956316" w14:textId="4295CCB1" w:rsidR="000D1BE9" w:rsidRDefault="005A50ED" w:rsidP="00C025B9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Graeme is still working on whether footpaths and bridleways should be included in the NDP. He and Mike are to get together to mark all the green spaces on a map.</w:t>
            </w:r>
            <w:r w:rsidR="00B82D0F">
              <w:rPr>
                <w:sz w:val="22"/>
                <w:szCs w:val="22"/>
              </w:rPr>
              <w:t xml:space="preserve">  See November tbc</w:t>
            </w:r>
          </w:p>
        </w:tc>
        <w:tc>
          <w:tcPr>
            <w:tcW w:w="1268" w:type="dxa"/>
          </w:tcPr>
          <w:p w14:paraId="2F07230D" w14:textId="77777777" w:rsidR="000D1BE9" w:rsidRDefault="005A50ED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Graeme</w:t>
            </w:r>
          </w:p>
          <w:p w14:paraId="3FD87E51" w14:textId="77777777" w:rsidR="005A50ED" w:rsidRPr="005A50ED" w:rsidRDefault="005A50ED" w:rsidP="005A50ED">
            <w:r>
              <w:t>Mike</w:t>
            </w:r>
          </w:p>
        </w:tc>
      </w:tr>
      <w:tr w:rsidR="005A50ED" w:rsidRPr="00975D43" w14:paraId="179B9FC2" w14:textId="77777777" w:rsidTr="00D036FA">
        <w:trPr>
          <w:cantSplit/>
        </w:trPr>
        <w:tc>
          <w:tcPr>
            <w:tcW w:w="863" w:type="dxa"/>
          </w:tcPr>
          <w:p w14:paraId="21243498" w14:textId="77777777" w:rsidR="005A50ED" w:rsidRPr="00975D43" w:rsidRDefault="005A50ED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05025F4C" w14:textId="35E6F823" w:rsidR="005A50ED" w:rsidRDefault="005A50ED" w:rsidP="00C025B9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asked Mike to get a map showing footpaths in the village for our next meeting.</w:t>
            </w:r>
            <w:r w:rsidR="00B82D0F">
              <w:rPr>
                <w:sz w:val="22"/>
                <w:szCs w:val="22"/>
              </w:rPr>
              <w:t xml:space="preserve">    See November tbc</w:t>
            </w:r>
          </w:p>
        </w:tc>
        <w:tc>
          <w:tcPr>
            <w:tcW w:w="1268" w:type="dxa"/>
          </w:tcPr>
          <w:p w14:paraId="470EA34D" w14:textId="77777777" w:rsidR="005A50ED" w:rsidRPr="00975D43" w:rsidRDefault="005A50ED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Mike</w:t>
            </w:r>
          </w:p>
        </w:tc>
      </w:tr>
      <w:tr w:rsidR="005A50ED" w:rsidRPr="00975D43" w14:paraId="6A9F239D" w14:textId="77777777" w:rsidTr="00D036FA">
        <w:trPr>
          <w:cantSplit/>
        </w:trPr>
        <w:tc>
          <w:tcPr>
            <w:tcW w:w="863" w:type="dxa"/>
          </w:tcPr>
          <w:p w14:paraId="484CA6B3" w14:textId="77777777" w:rsidR="005A50ED" w:rsidRPr="00975D43" w:rsidRDefault="005A50ED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3FA3F6F8" w14:textId="77777777" w:rsidR="005A50ED" w:rsidRDefault="005A50ED" w:rsidP="00C025B9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 5 shows other types of space that we need to consider:</w:t>
            </w:r>
          </w:p>
          <w:p w14:paraId="10466F0C" w14:textId="77777777" w:rsidR="005A50ED" w:rsidRPr="005A50ED" w:rsidRDefault="005A50ED" w:rsidP="005A50ED">
            <w:pPr>
              <w:pStyle w:val="ListParagraph"/>
              <w:numPr>
                <w:ilvl w:val="0"/>
                <w:numId w:val="16"/>
              </w:numPr>
              <w:ind w:right="-7"/>
              <w:rPr>
                <w:sz w:val="22"/>
                <w:szCs w:val="22"/>
              </w:rPr>
            </w:pPr>
            <w:r w:rsidRPr="005A50ED"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  <w:t>SSSI</w:t>
            </w:r>
          </w:p>
          <w:p w14:paraId="791EE8DC" w14:textId="77777777" w:rsidR="005A50ED" w:rsidRPr="005A50ED" w:rsidRDefault="005A50ED" w:rsidP="005A50ED">
            <w:pPr>
              <w:pStyle w:val="ListParagraph"/>
              <w:numPr>
                <w:ilvl w:val="0"/>
                <w:numId w:val="16"/>
              </w:numPr>
              <w:ind w:right="-7"/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</w:pPr>
            <w:r w:rsidRPr="005A50ED"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  <w:t>County Wildlife sites</w:t>
            </w:r>
          </w:p>
          <w:p w14:paraId="31D84765" w14:textId="77777777" w:rsidR="005A50ED" w:rsidRPr="005A50ED" w:rsidRDefault="005A50ED" w:rsidP="005A50ED">
            <w:pPr>
              <w:pStyle w:val="ListParagraph"/>
              <w:numPr>
                <w:ilvl w:val="0"/>
                <w:numId w:val="16"/>
              </w:numPr>
              <w:ind w:right="-7"/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</w:pPr>
            <w:r w:rsidRPr="005A50ED"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  <w:t>Conservation areas</w:t>
            </w:r>
          </w:p>
          <w:p w14:paraId="5137B0C0" w14:textId="77777777" w:rsidR="005A50ED" w:rsidRPr="005A50ED" w:rsidRDefault="005A50ED" w:rsidP="005A50ED">
            <w:pPr>
              <w:pStyle w:val="ListParagraph"/>
              <w:numPr>
                <w:ilvl w:val="0"/>
                <w:numId w:val="16"/>
              </w:numPr>
              <w:ind w:right="-7"/>
              <w:rPr>
                <w:sz w:val="22"/>
                <w:szCs w:val="22"/>
              </w:rPr>
            </w:pPr>
            <w:r w:rsidRPr="005A50ED">
              <w:rPr>
                <w:rFonts w:ascii="Arial" w:eastAsia="Times New Roman" w:hAnsi="Arial" w:cs="Times New Roman"/>
                <w:sz w:val="22"/>
                <w:szCs w:val="22"/>
                <w:lang w:val="en-GB"/>
              </w:rPr>
              <w:t>Archaeological sites</w:t>
            </w:r>
          </w:p>
          <w:p w14:paraId="6084A564" w14:textId="1231699F" w:rsidR="005A50ED" w:rsidRPr="005A50ED" w:rsidRDefault="005A50ED" w:rsidP="005A50ED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Graeme mentioned the stream bed by the bridge down from the Parish Hall which is paved and would have been a ford in previous years. This could be considered an archaeological site.</w:t>
            </w:r>
            <w:r w:rsidR="00B82D0F">
              <w:rPr>
                <w:sz w:val="22"/>
                <w:szCs w:val="22"/>
              </w:rPr>
              <w:t xml:space="preserve">  See Nov.</w:t>
            </w:r>
          </w:p>
        </w:tc>
        <w:tc>
          <w:tcPr>
            <w:tcW w:w="1268" w:type="dxa"/>
          </w:tcPr>
          <w:p w14:paraId="5BC9DFE4" w14:textId="77777777" w:rsidR="005A50ED" w:rsidRDefault="005A50ED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A50ED" w:rsidRPr="00975D43" w14:paraId="237EEAAF" w14:textId="77777777" w:rsidTr="00D036FA">
        <w:trPr>
          <w:cantSplit/>
        </w:trPr>
        <w:tc>
          <w:tcPr>
            <w:tcW w:w="863" w:type="dxa"/>
          </w:tcPr>
          <w:p w14:paraId="76262C8D" w14:textId="77777777" w:rsidR="005A50ED" w:rsidRPr="00975D43" w:rsidRDefault="005A50ED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31881A5B" w14:textId="7BBCBF3C" w:rsidR="004637E5" w:rsidRPr="004637E5" w:rsidRDefault="005A50ED" w:rsidP="009A1A4C">
            <w:pPr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will identify all these sites on a map.</w:t>
            </w:r>
            <w:r w:rsidR="00B82D0F">
              <w:rPr>
                <w:sz w:val="22"/>
                <w:szCs w:val="22"/>
              </w:rPr>
              <w:t xml:space="preserve">    Tbc</w:t>
            </w:r>
            <w:bookmarkStart w:id="0" w:name="_GoBack"/>
            <w:bookmarkEnd w:id="0"/>
          </w:p>
        </w:tc>
        <w:tc>
          <w:tcPr>
            <w:tcW w:w="1268" w:type="dxa"/>
          </w:tcPr>
          <w:p w14:paraId="4D67D5B9" w14:textId="77777777" w:rsidR="005A50ED" w:rsidRDefault="005A50ED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Mike</w:t>
            </w:r>
          </w:p>
        </w:tc>
      </w:tr>
      <w:tr w:rsidR="009A1A4C" w:rsidRPr="00975D43" w14:paraId="569AA6A3" w14:textId="77777777" w:rsidTr="00D036FA">
        <w:trPr>
          <w:cantSplit/>
        </w:trPr>
        <w:tc>
          <w:tcPr>
            <w:tcW w:w="863" w:type="dxa"/>
          </w:tcPr>
          <w:p w14:paraId="0E3FA345" w14:textId="77777777" w:rsidR="009A1A4C" w:rsidRPr="00975D43" w:rsidRDefault="009A1A4C" w:rsidP="000D1BE9">
            <w:pPr>
              <w:numPr>
                <w:ilvl w:val="1"/>
                <w:numId w:val="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16CE6EE3" w14:textId="77777777" w:rsidR="009A1A4C" w:rsidRPr="009A1A4C" w:rsidRDefault="009A1A4C" w:rsidP="009A1A4C">
            <w:pPr>
              <w:ind w:right="-7"/>
              <w:rPr>
                <w:sz w:val="22"/>
                <w:szCs w:val="22"/>
              </w:rPr>
            </w:pPr>
            <w:r w:rsidRPr="009A1A4C">
              <w:rPr>
                <w:sz w:val="22"/>
                <w:szCs w:val="22"/>
              </w:rPr>
              <w:t>Graeme mentioned a barrage balloon bed that still exists and should be noted on the archaeological document.  This needs to be highlighted and preserved.</w:t>
            </w:r>
          </w:p>
          <w:p w14:paraId="3A674956" w14:textId="77777777" w:rsidR="009A1A4C" w:rsidRDefault="009A1A4C" w:rsidP="00C025B9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77535B8" w14:textId="77777777" w:rsidR="009A1A4C" w:rsidRDefault="009A1A4C" w:rsidP="00182307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46007D" w:rsidRPr="00975D43" w14:paraId="1A21375F" w14:textId="77777777" w:rsidTr="00D036FA">
        <w:trPr>
          <w:cantSplit/>
        </w:trPr>
        <w:tc>
          <w:tcPr>
            <w:tcW w:w="863" w:type="dxa"/>
          </w:tcPr>
          <w:p w14:paraId="56FDF232" w14:textId="77777777" w:rsidR="0046007D" w:rsidRPr="00975D43" w:rsidRDefault="0046007D" w:rsidP="00610E0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674151F6" w14:textId="41258581" w:rsidR="0046007D" w:rsidRPr="00975D43" w:rsidRDefault="005A50ED" w:rsidP="000D1BE9">
            <w:pPr>
              <w:tabs>
                <w:tab w:val="center" w:pos="3269"/>
              </w:tabs>
              <w:ind w:left="567" w:right="-7" w:hanging="567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LG Issues to Options Worksheet</w:t>
            </w:r>
          </w:p>
        </w:tc>
        <w:tc>
          <w:tcPr>
            <w:tcW w:w="1268" w:type="dxa"/>
          </w:tcPr>
          <w:p w14:paraId="4FF2367D" w14:textId="77777777" w:rsidR="0046007D" w:rsidRPr="00975D43" w:rsidRDefault="0046007D" w:rsidP="00182307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F08DC" w:rsidRPr="002F08DC" w14:paraId="3DD8486D" w14:textId="77777777" w:rsidTr="00D036FA">
        <w:trPr>
          <w:cantSplit/>
        </w:trPr>
        <w:tc>
          <w:tcPr>
            <w:tcW w:w="863" w:type="dxa"/>
          </w:tcPr>
          <w:p w14:paraId="075608D0" w14:textId="77777777" w:rsidR="002F08DC" w:rsidRPr="002F08DC" w:rsidRDefault="002F08DC" w:rsidP="009A1A4C">
            <w:pPr>
              <w:numPr>
                <w:ilvl w:val="1"/>
                <w:numId w:val="21"/>
              </w:num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4FA7E6C3" w14:textId="7FB2746B" w:rsidR="00610E05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</w:rPr>
              <w:t>The committee reviewed the LG Issues to Options document. And updated the document.</w:t>
            </w:r>
          </w:p>
          <w:p w14:paraId="18A9D327" w14:textId="147CB030" w:rsidR="00EA28A8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</w:rPr>
              <w:t>A version will be distributed to the committee. All committee member will have another opportunity to comment on the document, by emailing their comments to Paul. After a period of 1 week from the distribution of the document. The Worksheet will be forwarded to GL for further comment and progress to the next step in the process.</w:t>
            </w:r>
            <w:r w:rsidR="00B6746B">
              <w:rPr>
                <w:rFonts w:ascii="Arial" w:eastAsia="Times New Roman" w:hAnsi="Arial"/>
                <w:color w:val="auto"/>
                <w:sz w:val="22"/>
                <w:szCs w:val="22"/>
              </w:rPr>
              <w:t xml:space="preserve"> </w:t>
            </w:r>
          </w:p>
          <w:p w14:paraId="6A892F62" w14:textId="2BEBB0AC" w:rsidR="00610E05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</w:p>
          <w:p w14:paraId="0BE589CF" w14:textId="11E07B13" w:rsidR="00610E05" w:rsidRPr="00610E05" w:rsidRDefault="00610E05" w:rsidP="007C1ADC">
            <w:pPr>
              <w:pStyle w:val="Default"/>
              <w:rPr>
                <w:rFonts w:ascii="Arial" w:eastAsia="Times New Roman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color w:val="auto"/>
                <w:sz w:val="22"/>
                <w:szCs w:val="22"/>
              </w:rPr>
              <w:t>Vision</w:t>
            </w:r>
            <w:r w:rsidRPr="00610E05">
              <w:rPr>
                <w:rFonts w:ascii="Arial" w:eastAsia="Times New Roman" w:hAnsi="Arial"/>
                <w:b/>
                <w:color w:val="auto"/>
                <w:sz w:val="22"/>
                <w:szCs w:val="22"/>
              </w:rPr>
              <w:t xml:space="preserve"> Statement</w:t>
            </w:r>
          </w:p>
          <w:p w14:paraId="254CB860" w14:textId="477C9610" w:rsidR="00610E05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</w:rPr>
              <w:t>The group reviewed and commented on the update to the Mission statement. The latest wording is contained in the presentation associated with these minutes.</w:t>
            </w:r>
          </w:p>
          <w:p w14:paraId="5BAA80BC" w14:textId="77777777" w:rsidR="00610E05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</w:p>
          <w:p w14:paraId="0A9CCA1D" w14:textId="46162C33" w:rsidR="00610E05" w:rsidRPr="00EA28A8" w:rsidRDefault="00610E05" w:rsidP="007C1ADC">
            <w:pPr>
              <w:pStyle w:val="Default"/>
              <w:rPr>
                <w:rFonts w:ascii="Arial" w:eastAsia="Times New Roman" w:hAnsi="Arial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C027701" w14:textId="77777777" w:rsidR="002F08DC" w:rsidRDefault="002F08DC" w:rsidP="002F08DC">
            <w:pPr>
              <w:rPr>
                <w:rFonts w:cs="Arial"/>
                <w:bCs/>
                <w:sz w:val="22"/>
                <w:szCs w:val="22"/>
              </w:rPr>
            </w:pPr>
          </w:p>
          <w:p w14:paraId="459C2B3E" w14:textId="77777777" w:rsidR="005A50ED" w:rsidRDefault="005A50ED" w:rsidP="002F08DC">
            <w:pPr>
              <w:rPr>
                <w:rFonts w:cs="Arial"/>
                <w:bCs/>
                <w:sz w:val="22"/>
                <w:szCs w:val="22"/>
              </w:rPr>
            </w:pPr>
          </w:p>
          <w:p w14:paraId="1333C71D" w14:textId="77777777" w:rsidR="005A50ED" w:rsidRDefault="005A50ED" w:rsidP="002F08DC">
            <w:pPr>
              <w:rPr>
                <w:rFonts w:cs="Arial"/>
                <w:bCs/>
                <w:sz w:val="22"/>
                <w:szCs w:val="22"/>
              </w:rPr>
            </w:pPr>
          </w:p>
          <w:p w14:paraId="446A51FE" w14:textId="77777777" w:rsidR="005A50ED" w:rsidRPr="002F08DC" w:rsidRDefault="005A50ED" w:rsidP="002F08D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ALL</w:t>
            </w:r>
          </w:p>
        </w:tc>
      </w:tr>
      <w:tr w:rsidR="002F08DC" w:rsidRPr="00975D43" w14:paraId="3FFB340D" w14:textId="77777777" w:rsidTr="00D036FA">
        <w:trPr>
          <w:cantSplit/>
        </w:trPr>
        <w:tc>
          <w:tcPr>
            <w:tcW w:w="863" w:type="dxa"/>
          </w:tcPr>
          <w:p w14:paraId="2D5F5E8E" w14:textId="77777777" w:rsidR="002F08DC" w:rsidRPr="00975D43" w:rsidRDefault="002F08DC" w:rsidP="009A1A4C">
            <w:pPr>
              <w:numPr>
                <w:ilvl w:val="0"/>
                <w:numId w:val="21"/>
              </w:num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3EBB4913" w14:textId="77777777" w:rsidR="002F08DC" w:rsidRDefault="005A50ED" w:rsidP="00EA28A8">
            <w:pPr>
              <w:ind w:left="567" w:right="-7" w:hanging="567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AOB</w:t>
            </w:r>
          </w:p>
        </w:tc>
        <w:tc>
          <w:tcPr>
            <w:tcW w:w="1268" w:type="dxa"/>
          </w:tcPr>
          <w:p w14:paraId="31EF2F6D" w14:textId="77777777" w:rsidR="002F08DC" w:rsidRPr="00975D43" w:rsidRDefault="002F08DC" w:rsidP="00182307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F08DC" w:rsidRPr="002F08DC" w14:paraId="018F154B" w14:textId="77777777" w:rsidTr="00D036FA">
        <w:trPr>
          <w:cantSplit/>
        </w:trPr>
        <w:tc>
          <w:tcPr>
            <w:tcW w:w="863" w:type="dxa"/>
          </w:tcPr>
          <w:p w14:paraId="2308AD31" w14:textId="77777777" w:rsidR="002F08DC" w:rsidRPr="002F08DC" w:rsidRDefault="002F08DC" w:rsidP="009A1A4C">
            <w:pPr>
              <w:numPr>
                <w:ilvl w:val="1"/>
                <w:numId w:val="21"/>
              </w:num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1EE8FBCE" w14:textId="38FB60E9" w:rsidR="00A03C93" w:rsidRPr="00D70A3C" w:rsidRDefault="00F241BC" w:rsidP="00D70A3C">
            <w:pPr>
              <w:ind w:right="-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The design report from AECOM Urban Developers was fully accepted.</w:t>
            </w:r>
          </w:p>
        </w:tc>
        <w:tc>
          <w:tcPr>
            <w:tcW w:w="1268" w:type="dxa"/>
          </w:tcPr>
          <w:p w14:paraId="6B10E0DB" w14:textId="77777777" w:rsidR="00A96482" w:rsidRPr="002F08DC" w:rsidRDefault="00A96482" w:rsidP="002F08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87872" w:rsidRPr="002F08DC" w14:paraId="36313ED2" w14:textId="77777777" w:rsidTr="00D036FA">
        <w:trPr>
          <w:cantSplit/>
        </w:trPr>
        <w:tc>
          <w:tcPr>
            <w:tcW w:w="863" w:type="dxa"/>
          </w:tcPr>
          <w:p w14:paraId="53F092A2" w14:textId="77777777" w:rsidR="00587872" w:rsidRPr="002F08DC" w:rsidRDefault="00587872" w:rsidP="009A1A4C">
            <w:pPr>
              <w:numPr>
                <w:ilvl w:val="0"/>
                <w:numId w:val="21"/>
              </w:num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4F3632EF" w14:textId="77777777" w:rsidR="00587872" w:rsidRPr="00587872" w:rsidRDefault="00A03C93" w:rsidP="00587872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Dates of next meetings</w:t>
            </w:r>
            <w:r w:rsidR="00D70A3C">
              <w:rPr>
                <w:rFonts w:cs="Calibri"/>
                <w:b/>
                <w:sz w:val="22"/>
                <w:szCs w:val="22"/>
              </w:rPr>
              <w:t xml:space="preserve"> – all at Long Barn 7.30pm</w:t>
            </w:r>
          </w:p>
        </w:tc>
        <w:tc>
          <w:tcPr>
            <w:tcW w:w="1268" w:type="dxa"/>
          </w:tcPr>
          <w:p w14:paraId="6D4CCBBF" w14:textId="77777777" w:rsidR="00587872" w:rsidRDefault="00587872" w:rsidP="002F08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87872" w:rsidRPr="002F08DC" w14:paraId="0AF8E4BA" w14:textId="77777777" w:rsidTr="00D036FA">
        <w:trPr>
          <w:cantSplit/>
        </w:trPr>
        <w:tc>
          <w:tcPr>
            <w:tcW w:w="863" w:type="dxa"/>
          </w:tcPr>
          <w:p w14:paraId="1A43CF70" w14:textId="77777777" w:rsidR="00587872" w:rsidRPr="002F08DC" w:rsidRDefault="00587872" w:rsidP="002F08DC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3679CAAA" w14:textId="69B92316" w:rsidR="00587872" w:rsidRDefault="00CA4A25" w:rsidP="00587872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Monday 12</w:t>
            </w:r>
            <w:r w:rsidRPr="00CA4A25">
              <w:rPr>
                <w:rFonts w:cs="Calibri"/>
                <w:sz w:val="22"/>
                <w:szCs w:val="22"/>
                <w:vertAlign w:val="superscript"/>
              </w:rPr>
              <w:t>th</w:t>
            </w:r>
            <w:r>
              <w:rPr>
                <w:rFonts w:cs="Calibri"/>
                <w:sz w:val="22"/>
                <w:szCs w:val="22"/>
              </w:rPr>
              <w:t xml:space="preserve"> November</w:t>
            </w:r>
          </w:p>
        </w:tc>
        <w:tc>
          <w:tcPr>
            <w:tcW w:w="1268" w:type="dxa"/>
          </w:tcPr>
          <w:p w14:paraId="7960A077" w14:textId="77777777" w:rsidR="00587872" w:rsidRDefault="00587872" w:rsidP="002F08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03C93" w:rsidRPr="002F08DC" w14:paraId="4798BC1C" w14:textId="77777777" w:rsidTr="00D036FA">
        <w:trPr>
          <w:cantSplit/>
        </w:trPr>
        <w:tc>
          <w:tcPr>
            <w:tcW w:w="863" w:type="dxa"/>
          </w:tcPr>
          <w:p w14:paraId="096B71D7" w14:textId="77777777" w:rsidR="00A03C93" w:rsidRPr="002F08DC" w:rsidRDefault="00A03C93" w:rsidP="002F08DC">
            <w:pPr>
              <w:ind w:left="17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747" w:type="dxa"/>
          </w:tcPr>
          <w:p w14:paraId="79FAF668" w14:textId="7E83F58E" w:rsidR="00A03C93" w:rsidRDefault="00A03C93" w:rsidP="0058787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BCBE18E" w14:textId="77777777" w:rsidR="00A03C93" w:rsidRDefault="00A03C93" w:rsidP="002F08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9754880" w14:textId="77777777" w:rsidR="000D376B" w:rsidRPr="00975D43" w:rsidRDefault="000D376B">
      <w:pPr>
        <w:rPr>
          <w:sz w:val="22"/>
          <w:szCs w:val="22"/>
        </w:rPr>
      </w:pPr>
    </w:p>
    <w:sectPr w:rsidR="000D376B" w:rsidRPr="00975D43" w:rsidSect="00182307">
      <w:pgSz w:w="11906" w:h="16838"/>
      <w:pgMar w:top="1985" w:right="162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327"/>
    <w:multiLevelType w:val="hybridMultilevel"/>
    <w:tmpl w:val="4094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347"/>
    <w:multiLevelType w:val="hybridMultilevel"/>
    <w:tmpl w:val="906E5B6A"/>
    <w:lvl w:ilvl="0" w:tplc="8348EB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6787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AAA6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4AADE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D627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624AC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C804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A6E0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62CD05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06952A3E"/>
    <w:multiLevelType w:val="hybridMultilevel"/>
    <w:tmpl w:val="8A0C7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B6ECC"/>
    <w:multiLevelType w:val="hybridMultilevel"/>
    <w:tmpl w:val="C49E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0FFD"/>
    <w:multiLevelType w:val="hybridMultilevel"/>
    <w:tmpl w:val="D376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4B31"/>
    <w:multiLevelType w:val="hybridMultilevel"/>
    <w:tmpl w:val="D7DCC7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CBD0327"/>
    <w:multiLevelType w:val="hybridMultilevel"/>
    <w:tmpl w:val="2B94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A631B"/>
    <w:multiLevelType w:val="multilevel"/>
    <w:tmpl w:val="BFE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C6054"/>
    <w:multiLevelType w:val="hybridMultilevel"/>
    <w:tmpl w:val="9BCEA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07C1D"/>
    <w:multiLevelType w:val="hybridMultilevel"/>
    <w:tmpl w:val="C14401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B6D45"/>
    <w:multiLevelType w:val="hybridMultilevel"/>
    <w:tmpl w:val="5B3A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C346B"/>
    <w:multiLevelType w:val="hybridMultilevel"/>
    <w:tmpl w:val="3AA8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A5E79"/>
    <w:multiLevelType w:val="hybridMultilevel"/>
    <w:tmpl w:val="20BAE054"/>
    <w:lvl w:ilvl="0" w:tplc="A9048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368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4098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888E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78F8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8AA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CB7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0A3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EC0D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15059"/>
    <w:multiLevelType w:val="hybridMultilevel"/>
    <w:tmpl w:val="7CFC3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57741"/>
    <w:multiLevelType w:val="multilevel"/>
    <w:tmpl w:val="9B7A45C2"/>
    <w:lvl w:ilvl="0">
      <w:start w:val="1"/>
      <w:numFmt w:val="decimal"/>
      <w:lvlText w:val="%1"/>
      <w:lvlJc w:val="left"/>
      <w:pPr>
        <w:tabs>
          <w:tab w:val="num" w:pos="530"/>
        </w:tabs>
        <w:ind w:left="360" w:hanging="19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2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31D4AF2"/>
    <w:multiLevelType w:val="hybridMultilevel"/>
    <w:tmpl w:val="F602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5DEA"/>
    <w:multiLevelType w:val="hybridMultilevel"/>
    <w:tmpl w:val="946A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0589"/>
    <w:multiLevelType w:val="hybridMultilevel"/>
    <w:tmpl w:val="F3D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47F1"/>
    <w:multiLevelType w:val="hybridMultilevel"/>
    <w:tmpl w:val="27F42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F60898"/>
    <w:multiLevelType w:val="multilevel"/>
    <w:tmpl w:val="9B7A45C2"/>
    <w:lvl w:ilvl="0">
      <w:start w:val="1"/>
      <w:numFmt w:val="decimal"/>
      <w:lvlText w:val="%1"/>
      <w:lvlJc w:val="left"/>
      <w:pPr>
        <w:tabs>
          <w:tab w:val="num" w:pos="530"/>
        </w:tabs>
        <w:ind w:left="360" w:hanging="19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2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2"/>
  </w:num>
  <w:num w:numId="14">
    <w:abstractNumId w:val="18"/>
  </w:num>
  <w:num w:numId="15">
    <w:abstractNumId w:val="17"/>
  </w:num>
  <w:num w:numId="16">
    <w:abstractNumId w:val="6"/>
  </w:num>
  <w:num w:numId="17">
    <w:abstractNumId w:val="1"/>
  </w:num>
  <w:num w:numId="18">
    <w:abstractNumId w:val="13"/>
  </w:num>
  <w:num w:numId="19">
    <w:abstractNumId w:val="4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F"/>
    <w:rsid w:val="00074A5E"/>
    <w:rsid w:val="00077539"/>
    <w:rsid w:val="00084B7A"/>
    <w:rsid w:val="000D1BE9"/>
    <w:rsid w:val="000D376B"/>
    <w:rsid w:val="00101A9A"/>
    <w:rsid w:val="00143265"/>
    <w:rsid w:val="00174484"/>
    <w:rsid w:val="00177F74"/>
    <w:rsid w:val="00182307"/>
    <w:rsid w:val="00184592"/>
    <w:rsid w:val="001B38FF"/>
    <w:rsid w:val="001C434A"/>
    <w:rsid w:val="001D127A"/>
    <w:rsid w:val="002512B1"/>
    <w:rsid w:val="002A1B1A"/>
    <w:rsid w:val="002F08DC"/>
    <w:rsid w:val="00322AF3"/>
    <w:rsid w:val="003567ED"/>
    <w:rsid w:val="0046007D"/>
    <w:rsid w:val="004637E5"/>
    <w:rsid w:val="004F6DD8"/>
    <w:rsid w:val="00523799"/>
    <w:rsid w:val="00552816"/>
    <w:rsid w:val="00556B76"/>
    <w:rsid w:val="00587872"/>
    <w:rsid w:val="005A50ED"/>
    <w:rsid w:val="005B011F"/>
    <w:rsid w:val="005B62C9"/>
    <w:rsid w:val="005F38F6"/>
    <w:rsid w:val="00610E05"/>
    <w:rsid w:val="006A480A"/>
    <w:rsid w:val="006B6A37"/>
    <w:rsid w:val="006D6B37"/>
    <w:rsid w:val="0079559F"/>
    <w:rsid w:val="007C1ADC"/>
    <w:rsid w:val="007D2A52"/>
    <w:rsid w:val="007D4AD4"/>
    <w:rsid w:val="00881591"/>
    <w:rsid w:val="008D309C"/>
    <w:rsid w:val="008D58B6"/>
    <w:rsid w:val="00975D43"/>
    <w:rsid w:val="009A1A4C"/>
    <w:rsid w:val="00A03C93"/>
    <w:rsid w:val="00A3614D"/>
    <w:rsid w:val="00A96482"/>
    <w:rsid w:val="00AE3020"/>
    <w:rsid w:val="00B2515A"/>
    <w:rsid w:val="00B6091A"/>
    <w:rsid w:val="00B6746B"/>
    <w:rsid w:val="00B75C83"/>
    <w:rsid w:val="00B82272"/>
    <w:rsid w:val="00B82D0F"/>
    <w:rsid w:val="00B87AC6"/>
    <w:rsid w:val="00BB7EB2"/>
    <w:rsid w:val="00BD34C3"/>
    <w:rsid w:val="00C025B9"/>
    <w:rsid w:val="00C447DD"/>
    <w:rsid w:val="00C721C8"/>
    <w:rsid w:val="00C76236"/>
    <w:rsid w:val="00C86A60"/>
    <w:rsid w:val="00CA4A25"/>
    <w:rsid w:val="00CD2E3C"/>
    <w:rsid w:val="00CD53AB"/>
    <w:rsid w:val="00D036FA"/>
    <w:rsid w:val="00D65CE2"/>
    <w:rsid w:val="00D70A3C"/>
    <w:rsid w:val="00D73D00"/>
    <w:rsid w:val="00D96DD6"/>
    <w:rsid w:val="00DB748A"/>
    <w:rsid w:val="00DE0355"/>
    <w:rsid w:val="00E0739B"/>
    <w:rsid w:val="00EA1CC6"/>
    <w:rsid w:val="00EA28A8"/>
    <w:rsid w:val="00EB1102"/>
    <w:rsid w:val="00EB49CB"/>
    <w:rsid w:val="00F241BC"/>
    <w:rsid w:val="00F25E72"/>
    <w:rsid w:val="00F50C55"/>
    <w:rsid w:val="00F752AF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E3EDD"/>
  <w15:docId w15:val="{8C6FECDB-6F25-4098-8B31-3DB3BA7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1F"/>
    <w:rPr>
      <w:rFonts w:ascii="Arial" w:eastAsia="Times New Roman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11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011F"/>
    <w:rPr>
      <w:rFonts w:ascii="Arial" w:eastAsia="Times New Roman" w:hAnsi="Arial" w:cs="Times New Roman"/>
      <w:b/>
      <w:bCs/>
      <w:lang w:val="en-GB"/>
    </w:rPr>
  </w:style>
  <w:style w:type="character" w:styleId="Hyperlink">
    <w:name w:val="Hyperlink"/>
    <w:basedOn w:val="DefaultParagraphFont"/>
    <w:uiPriority w:val="99"/>
    <w:rsid w:val="005B01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011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46007D"/>
    <w:rPr>
      <w:rFonts w:ascii="Times New Roman" w:eastAsiaTheme="minorHAnsi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D73D00"/>
  </w:style>
  <w:style w:type="paragraph" w:customStyle="1" w:styleId="Body">
    <w:name w:val="Body"/>
    <w:rsid w:val="00CD53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paragraph" w:customStyle="1" w:styleId="Default">
    <w:name w:val="Default"/>
    <w:rsid w:val="00EA28A8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32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0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49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99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1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7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Fenton</dc:creator>
  <cp:keywords/>
  <dc:description/>
  <cp:lastModifiedBy>Hilary Greene</cp:lastModifiedBy>
  <cp:revision>3</cp:revision>
  <cp:lastPrinted>2018-02-26T09:24:00Z</cp:lastPrinted>
  <dcterms:created xsi:type="dcterms:W3CDTF">2018-10-14T14:33:00Z</dcterms:created>
  <dcterms:modified xsi:type="dcterms:W3CDTF">2018-10-14T14:35:00Z</dcterms:modified>
</cp:coreProperties>
</file>